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B8E4" w14:textId="0E531969" w:rsidR="00FE781C" w:rsidRPr="00106F94" w:rsidRDefault="009B2BED" w:rsidP="00FE781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Bogotá D.C.  </w:t>
      </w:r>
      <w:r w:rsidR="003832C7">
        <w:rPr>
          <w:rFonts w:ascii="Arial" w:eastAsia="Times New Roman" w:hAnsi="Arial" w:cs="Arial"/>
          <w:sz w:val="24"/>
          <w:szCs w:val="24"/>
        </w:rPr>
        <w:t xml:space="preserve">19 </w:t>
      </w:r>
      <w:r>
        <w:rPr>
          <w:rFonts w:ascii="Arial" w:eastAsia="Times New Roman" w:hAnsi="Arial" w:cs="Arial"/>
          <w:sz w:val="24"/>
          <w:szCs w:val="24"/>
        </w:rPr>
        <w:t>de</w:t>
      </w:r>
      <w:r w:rsidR="003832C7">
        <w:rPr>
          <w:rFonts w:ascii="Arial" w:eastAsia="Times New Roman" w:hAnsi="Arial" w:cs="Arial"/>
          <w:sz w:val="24"/>
          <w:szCs w:val="24"/>
        </w:rPr>
        <w:t xml:space="preserve"> abril</w:t>
      </w:r>
      <w:r w:rsidR="00FE781C" w:rsidRPr="00106F94">
        <w:rPr>
          <w:rFonts w:ascii="Arial" w:eastAsia="Times New Roman" w:hAnsi="Arial" w:cs="Arial"/>
          <w:sz w:val="24"/>
          <w:szCs w:val="24"/>
        </w:rPr>
        <w:t xml:space="preserve"> de 2021</w:t>
      </w:r>
    </w:p>
    <w:p w14:paraId="4844E7AE" w14:textId="5218B4B9" w:rsidR="00FE781C" w:rsidRDefault="00FE781C" w:rsidP="00FE781C">
      <w:pPr>
        <w:spacing w:after="0" w:line="240" w:lineRule="auto"/>
        <w:jc w:val="both"/>
        <w:rPr>
          <w:rFonts w:ascii="Arial" w:eastAsia="Times New Roman" w:hAnsi="Arial" w:cs="Arial"/>
          <w:sz w:val="24"/>
          <w:szCs w:val="24"/>
        </w:rPr>
      </w:pPr>
    </w:p>
    <w:p w14:paraId="18DA0210" w14:textId="77777777" w:rsidR="000A0A6F" w:rsidRPr="00106F94" w:rsidRDefault="000A0A6F" w:rsidP="00FE781C">
      <w:pPr>
        <w:spacing w:after="0" w:line="240" w:lineRule="auto"/>
        <w:jc w:val="both"/>
        <w:rPr>
          <w:rFonts w:ascii="Arial" w:eastAsia="Times New Roman" w:hAnsi="Arial" w:cs="Arial"/>
          <w:sz w:val="24"/>
          <w:szCs w:val="24"/>
        </w:rPr>
      </w:pPr>
    </w:p>
    <w:p w14:paraId="1678EAC9"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Doctor</w:t>
      </w:r>
    </w:p>
    <w:p w14:paraId="37D3DC10" w14:textId="77777777" w:rsidR="00FE781C" w:rsidRPr="00106F94" w:rsidRDefault="00FE781C" w:rsidP="00FE781C">
      <w:pPr>
        <w:spacing w:after="0" w:line="240" w:lineRule="auto"/>
        <w:jc w:val="both"/>
        <w:rPr>
          <w:rFonts w:ascii="Arial" w:eastAsia="Times New Roman" w:hAnsi="Arial" w:cs="Arial"/>
          <w:b/>
          <w:sz w:val="24"/>
          <w:szCs w:val="24"/>
        </w:rPr>
      </w:pPr>
      <w:r w:rsidRPr="00106F94">
        <w:rPr>
          <w:rFonts w:ascii="Arial" w:eastAsia="Times New Roman" w:hAnsi="Arial" w:cs="Arial"/>
          <w:b/>
          <w:sz w:val="24"/>
          <w:szCs w:val="24"/>
        </w:rPr>
        <w:t>JULIO CÉSAR TRIANA QUINTERO</w:t>
      </w:r>
    </w:p>
    <w:p w14:paraId="55AE30BF" w14:textId="77777777" w:rsidR="00FE781C" w:rsidRPr="00106F94" w:rsidRDefault="00FE781C" w:rsidP="00FE781C">
      <w:pPr>
        <w:spacing w:after="0" w:line="240" w:lineRule="auto"/>
        <w:jc w:val="both"/>
        <w:rPr>
          <w:rFonts w:ascii="Arial" w:eastAsia="Times New Roman" w:hAnsi="Arial" w:cs="Arial"/>
          <w:b/>
          <w:sz w:val="24"/>
          <w:szCs w:val="24"/>
        </w:rPr>
      </w:pPr>
      <w:r w:rsidRPr="00106F94">
        <w:rPr>
          <w:rFonts w:ascii="Arial" w:eastAsia="Times New Roman" w:hAnsi="Arial" w:cs="Arial"/>
          <w:b/>
          <w:sz w:val="24"/>
          <w:szCs w:val="24"/>
        </w:rPr>
        <w:t>Presidente Comisión Primera</w:t>
      </w:r>
    </w:p>
    <w:p w14:paraId="1690EE8C"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Cámara de Representantes</w:t>
      </w:r>
    </w:p>
    <w:p w14:paraId="511C3E8F"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Bogotá</w:t>
      </w:r>
    </w:p>
    <w:p w14:paraId="4398DBA6" w14:textId="7E8DE604" w:rsidR="00FE781C" w:rsidRDefault="00FE781C" w:rsidP="00FE781C">
      <w:pPr>
        <w:spacing w:after="0" w:line="240" w:lineRule="auto"/>
        <w:jc w:val="both"/>
        <w:rPr>
          <w:rFonts w:ascii="Arial" w:eastAsia="Times New Roman" w:hAnsi="Arial" w:cs="Arial"/>
          <w:sz w:val="24"/>
          <w:szCs w:val="24"/>
        </w:rPr>
      </w:pPr>
    </w:p>
    <w:p w14:paraId="24BE2F3A" w14:textId="2F267CA4" w:rsidR="000A0A6F" w:rsidRDefault="000A0A6F" w:rsidP="00FE781C">
      <w:pPr>
        <w:spacing w:after="0" w:line="240" w:lineRule="auto"/>
        <w:jc w:val="both"/>
        <w:rPr>
          <w:rFonts w:ascii="Arial" w:eastAsia="Times New Roman" w:hAnsi="Arial" w:cs="Arial"/>
          <w:sz w:val="24"/>
          <w:szCs w:val="24"/>
        </w:rPr>
      </w:pPr>
    </w:p>
    <w:p w14:paraId="72887EBC" w14:textId="77777777" w:rsidR="000A0A6F" w:rsidRPr="00106F94" w:rsidRDefault="000A0A6F" w:rsidP="00FE781C">
      <w:pPr>
        <w:spacing w:after="0" w:line="240" w:lineRule="auto"/>
        <w:jc w:val="both"/>
        <w:rPr>
          <w:rFonts w:ascii="Arial" w:eastAsia="Times New Roman" w:hAnsi="Arial" w:cs="Arial"/>
          <w:sz w:val="24"/>
          <w:szCs w:val="24"/>
        </w:rPr>
      </w:pPr>
    </w:p>
    <w:p w14:paraId="5A2F5821" w14:textId="3A8BF5FF" w:rsidR="00FE781C" w:rsidRDefault="00FE781C" w:rsidP="00FE781C">
      <w:pPr>
        <w:pStyle w:val="Default"/>
        <w:jc w:val="both"/>
        <w:rPr>
          <w:rFonts w:ascii="Arial" w:eastAsia="Times New Roman" w:hAnsi="Arial" w:cs="Arial"/>
        </w:rPr>
      </w:pPr>
      <w:bookmarkStart w:id="0" w:name="_heading=h.gjdgxs" w:colFirst="0" w:colLast="0"/>
      <w:bookmarkEnd w:id="0"/>
      <w:r w:rsidRPr="00106F94">
        <w:rPr>
          <w:rFonts w:ascii="Arial" w:eastAsia="Times New Roman" w:hAnsi="Arial" w:cs="Arial"/>
          <w:b/>
        </w:rPr>
        <w:t>Asunto:</w:t>
      </w:r>
      <w:r w:rsidRPr="00106F94">
        <w:rPr>
          <w:rFonts w:ascii="Arial" w:eastAsia="Times New Roman" w:hAnsi="Arial" w:cs="Arial"/>
        </w:rPr>
        <w:t xml:space="preserve"> </w:t>
      </w:r>
      <w:r w:rsidR="009B2BED">
        <w:rPr>
          <w:rFonts w:ascii="Arial" w:eastAsia="Times New Roman" w:hAnsi="Arial" w:cs="Arial"/>
        </w:rPr>
        <w:t xml:space="preserve"> Informe de ponencia para Segundo</w:t>
      </w:r>
      <w:r w:rsidRPr="00106F94">
        <w:rPr>
          <w:rFonts w:ascii="Arial" w:eastAsia="Times New Roman" w:hAnsi="Arial" w:cs="Arial"/>
        </w:rPr>
        <w:t xml:space="preserve"> debate del Proyecto de Ley número 198 de 2021 Cámara </w:t>
      </w:r>
      <w:r w:rsidRPr="00106F94">
        <w:rPr>
          <w:rFonts w:ascii="Arial" w:hAnsi="Arial" w:cs="Arial"/>
          <w:b/>
          <w:bCs/>
        </w:rPr>
        <w:t>“</w:t>
      </w:r>
      <w:r w:rsidRPr="00106F94">
        <w:rPr>
          <w:rFonts w:ascii="Arial" w:eastAsia="Times New Roman" w:hAnsi="Arial" w:cs="Arial"/>
        </w:rPr>
        <w:t>Por medio de la cual se suspenden los efectos de los mandamientos de pago y la ejecución de todo aquel dictado en procesos ejecutivos de mínima y menor cuantía y se dictan otras disposiciones”.</w:t>
      </w:r>
    </w:p>
    <w:p w14:paraId="47FC3F33" w14:textId="77777777" w:rsidR="000A0A6F" w:rsidRPr="00106F94" w:rsidRDefault="000A0A6F" w:rsidP="00FE781C">
      <w:pPr>
        <w:pStyle w:val="Default"/>
        <w:jc w:val="both"/>
        <w:rPr>
          <w:rFonts w:ascii="Arial" w:hAnsi="Arial" w:cs="Arial"/>
        </w:rPr>
      </w:pPr>
    </w:p>
    <w:p w14:paraId="6554C83F"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06F94">
        <w:rPr>
          <w:rFonts w:ascii="Arial" w:eastAsia="Times New Roman" w:hAnsi="Arial" w:cs="Arial"/>
          <w:color w:val="000000"/>
          <w:sz w:val="24"/>
          <w:szCs w:val="24"/>
        </w:rPr>
        <w:t xml:space="preserve"> </w:t>
      </w:r>
    </w:p>
    <w:p w14:paraId="00930610"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Respetado Señor Presidente:</w:t>
      </w:r>
    </w:p>
    <w:p w14:paraId="235C39E1" w14:textId="77777777" w:rsidR="00FE781C" w:rsidRPr="00106F94" w:rsidRDefault="00FE781C" w:rsidP="00FE781C">
      <w:pPr>
        <w:spacing w:after="0" w:line="240" w:lineRule="auto"/>
        <w:jc w:val="both"/>
        <w:rPr>
          <w:rFonts w:ascii="Arial" w:eastAsia="Times New Roman" w:hAnsi="Arial" w:cs="Arial"/>
          <w:sz w:val="24"/>
          <w:szCs w:val="24"/>
        </w:rPr>
      </w:pPr>
    </w:p>
    <w:p w14:paraId="24252AB5" w14:textId="704561CF" w:rsidR="00FE781C" w:rsidRDefault="00FE781C" w:rsidP="00FE781C">
      <w:pPr>
        <w:spacing w:after="0" w:line="240" w:lineRule="auto"/>
        <w:jc w:val="both"/>
        <w:rPr>
          <w:rFonts w:ascii="Arial" w:eastAsia="Times New Roman" w:hAnsi="Arial" w:cs="Arial"/>
          <w:sz w:val="24"/>
          <w:szCs w:val="24"/>
        </w:rPr>
      </w:pPr>
      <w:bookmarkStart w:id="1" w:name="_heading=h.30j0zll" w:colFirst="0" w:colLast="0"/>
      <w:bookmarkEnd w:id="1"/>
      <w:r w:rsidRPr="00106F94">
        <w:rPr>
          <w:rFonts w:ascii="Arial" w:eastAsia="Times New Roman" w:hAnsi="Arial" w:cs="Arial"/>
          <w:sz w:val="24"/>
          <w:szCs w:val="24"/>
        </w:rPr>
        <w:t xml:space="preserve">En cumplimiento del honroso encargo impartido, por medio de la presente remitimos a su despacho, con el fin que se ponga a consideración para discusión de la </w:t>
      </w:r>
      <w:r w:rsidR="009B2BED">
        <w:rPr>
          <w:rFonts w:ascii="Arial" w:eastAsia="Times New Roman" w:hAnsi="Arial" w:cs="Arial"/>
          <w:sz w:val="24"/>
          <w:szCs w:val="24"/>
        </w:rPr>
        <w:t>Honorable Plenaria</w:t>
      </w:r>
      <w:r w:rsidRPr="00106F94">
        <w:rPr>
          <w:rFonts w:ascii="Arial" w:eastAsia="Times New Roman" w:hAnsi="Arial" w:cs="Arial"/>
          <w:sz w:val="24"/>
          <w:szCs w:val="24"/>
        </w:rPr>
        <w:t xml:space="preserve"> de la Cámara de Representantes, el</w:t>
      </w:r>
      <w:r w:rsidR="009B2BED">
        <w:rPr>
          <w:rFonts w:ascii="Arial" w:eastAsia="Times New Roman" w:hAnsi="Arial" w:cs="Arial"/>
          <w:sz w:val="24"/>
          <w:szCs w:val="24"/>
        </w:rPr>
        <w:t xml:space="preserve"> informe de ponencia para segundo</w:t>
      </w:r>
      <w:r w:rsidRPr="00106F94">
        <w:rPr>
          <w:rFonts w:ascii="Arial" w:eastAsia="Times New Roman" w:hAnsi="Arial" w:cs="Arial"/>
          <w:sz w:val="24"/>
          <w:szCs w:val="24"/>
        </w:rPr>
        <w:t xml:space="preserve"> debate del Proyecto de Ley número 198 de 2021 Cámara </w:t>
      </w:r>
      <w:r w:rsidRPr="00106F94">
        <w:rPr>
          <w:rFonts w:ascii="Arial" w:hAnsi="Arial" w:cs="Arial"/>
          <w:b/>
          <w:bCs/>
          <w:sz w:val="24"/>
          <w:szCs w:val="24"/>
        </w:rPr>
        <w:t>“</w:t>
      </w:r>
      <w:r w:rsidRPr="00106F94">
        <w:rPr>
          <w:rFonts w:ascii="Arial" w:eastAsia="Times New Roman" w:hAnsi="Arial" w:cs="Arial"/>
          <w:sz w:val="24"/>
          <w:szCs w:val="24"/>
        </w:rPr>
        <w:t>Por medio de la cual se suspenden los efectos de los mandamientos de pago y la ejecución de todo aquel dictado en procesos ejecutivos de mínima y menor cuantía y se dictan otras disposiciones</w:t>
      </w:r>
      <w:r w:rsidR="009B2BED" w:rsidRPr="00106F94">
        <w:rPr>
          <w:rFonts w:ascii="Arial" w:eastAsia="Times New Roman" w:hAnsi="Arial" w:cs="Arial"/>
          <w:sz w:val="24"/>
          <w:szCs w:val="24"/>
        </w:rPr>
        <w:t>”.</w:t>
      </w:r>
    </w:p>
    <w:p w14:paraId="3A5E8104" w14:textId="77777777" w:rsidR="000A0A6F" w:rsidRPr="00106F94" w:rsidRDefault="000A0A6F" w:rsidP="00FE781C">
      <w:pPr>
        <w:spacing w:after="0" w:line="240" w:lineRule="auto"/>
        <w:jc w:val="both"/>
        <w:rPr>
          <w:rFonts w:ascii="Arial" w:eastAsia="Times New Roman" w:hAnsi="Arial" w:cs="Arial"/>
          <w:sz w:val="24"/>
          <w:szCs w:val="24"/>
        </w:rPr>
      </w:pPr>
    </w:p>
    <w:p w14:paraId="40E4290C" w14:textId="77777777" w:rsidR="00FE781C" w:rsidRPr="00106F94" w:rsidRDefault="00FE781C" w:rsidP="00FE781C">
      <w:pPr>
        <w:spacing w:after="0" w:line="240" w:lineRule="auto"/>
        <w:jc w:val="both"/>
        <w:rPr>
          <w:rFonts w:ascii="Arial" w:eastAsia="Times New Roman" w:hAnsi="Arial" w:cs="Arial"/>
          <w:sz w:val="24"/>
          <w:szCs w:val="24"/>
        </w:rPr>
      </w:pPr>
    </w:p>
    <w:p w14:paraId="0C0797E7"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Cordialmente,</w:t>
      </w:r>
    </w:p>
    <w:p w14:paraId="1A5B2F52" w14:textId="77777777" w:rsidR="00FE781C" w:rsidRPr="00106F94" w:rsidRDefault="00FE781C" w:rsidP="00FE781C">
      <w:pPr>
        <w:spacing w:after="0" w:line="240" w:lineRule="auto"/>
        <w:jc w:val="both"/>
        <w:rPr>
          <w:rFonts w:ascii="Arial" w:hAnsi="Arial" w:cs="Arial"/>
          <w:noProof/>
          <w:sz w:val="24"/>
          <w:szCs w:val="24"/>
        </w:rPr>
      </w:pPr>
    </w:p>
    <w:p w14:paraId="37330B52" w14:textId="77777777" w:rsidR="00FE781C" w:rsidRPr="00106F94" w:rsidRDefault="00FE781C" w:rsidP="00FE781C">
      <w:pPr>
        <w:spacing w:after="0" w:line="240" w:lineRule="auto"/>
        <w:jc w:val="both"/>
        <w:rPr>
          <w:rFonts w:ascii="Arial" w:eastAsia="Times New Roman" w:hAnsi="Arial" w:cs="Arial"/>
          <w:sz w:val="24"/>
          <w:szCs w:val="24"/>
        </w:rPr>
      </w:pPr>
    </w:p>
    <w:p w14:paraId="3C461AE9" w14:textId="77777777" w:rsidR="00FE781C" w:rsidRPr="00106F94" w:rsidRDefault="00FE781C" w:rsidP="00FE781C">
      <w:pPr>
        <w:spacing w:after="0" w:line="240" w:lineRule="auto"/>
        <w:jc w:val="both"/>
        <w:rPr>
          <w:rFonts w:ascii="Arial" w:eastAsia="Times New Roman" w:hAnsi="Arial" w:cs="Arial"/>
          <w:sz w:val="24"/>
          <w:szCs w:val="24"/>
        </w:rPr>
      </w:pPr>
    </w:p>
    <w:p w14:paraId="6883397B" w14:textId="77777777" w:rsidR="00FE781C" w:rsidRPr="00106F94" w:rsidRDefault="00FE781C" w:rsidP="00FE781C">
      <w:pPr>
        <w:spacing w:after="0"/>
        <w:jc w:val="both"/>
        <w:rPr>
          <w:rFonts w:ascii="Arial" w:eastAsia="Times New Roman" w:hAnsi="Arial" w:cs="Arial"/>
          <w:b/>
          <w:sz w:val="24"/>
          <w:szCs w:val="24"/>
          <w:highlight w:val="white"/>
        </w:rPr>
      </w:pPr>
    </w:p>
    <w:p w14:paraId="0D40FF8D" w14:textId="77777777" w:rsidR="00FE781C" w:rsidRPr="00106F94" w:rsidRDefault="00FE781C" w:rsidP="00FE781C">
      <w:pPr>
        <w:spacing w:after="0"/>
        <w:jc w:val="both"/>
        <w:rPr>
          <w:rFonts w:ascii="Arial" w:eastAsia="Times New Roman" w:hAnsi="Arial" w:cs="Arial"/>
          <w:b/>
          <w:sz w:val="24"/>
          <w:szCs w:val="24"/>
          <w:highlight w:val="white"/>
        </w:rPr>
      </w:pPr>
    </w:p>
    <w:p w14:paraId="11986BDD" w14:textId="77777777" w:rsidR="00FE781C" w:rsidRPr="00106F94" w:rsidRDefault="00FE781C" w:rsidP="00FE781C">
      <w:pPr>
        <w:spacing w:after="0"/>
        <w:jc w:val="both"/>
        <w:rPr>
          <w:rFonts w:ascii="Arial" w:eastAsia="Times New Roman" w:hAnsi="Arial" w:cs="Arial"/>
          <w:b/>
          <w:sz w:val="24"/>
          <w:szCs w:val="24"/>
          <w:highlight w:val="white"/>
        </w:rPr>
        <w:sectPr w:rsidR="00FE781C" w:rsidRPr="00106F94" w:rsidSect="0081350F">
          <w:headerReference w:type="even" r:id="rId8"/>
          <w:headerReference w:type="default" r:id="rId9"/>
          <w:footerReference w:type="even" r:id="rId10"/>
          <w:footerReference w:type="default" r:id="rId11"/>
          <w:headerReference w:type="first" r:id="rId12"/>
          <w:footerReference w:type="first" r:id="rId13"/>
          <w:pgSz w:w="12240" w:h="15840"/>
          <w:pgMar w:top="2693" w:right="1701" w:bottom="2268" w:left="1701" w:header="708" w:footer="1681" w:gutter="0"/>
          <w:pgNumType w:start="1"/>
          <w:cols w:space="720" w:equalWidth="0">
            <w:col w:w="8838"/>
          </w:cols>
        </w:sectPr>
      </w:pPr>
    </w:p>
    <w:p w14:paraId="1F6EB423" w14:textId="61E816DE" w:rsidR="00FE781C" w:rsidRPr="005A729B" w:rsidRDefault="00FE781C" w:rsidP="00E44B1C">
      <w:pPr>
        <w:spacing w:after="0"/>
        <w:jc w:val="center"/>
        <w:rPr>
          <w:rFonts w:ascii="Arial" w:eastAsia="Times New Roman" w:hAnsi="Arial" w:cs="Arial"/>
          <w:b/>
          <w:i/>
          <w:sz w:val="24"/>
          <w:szCs w:val="24"/>
          <w:highlight w:val="white"/>
        </w:rPr>
      </w:pPr>
      <w:r w:rsidRPr="005A729B">
        <w:rPr>
          <w:rFonts w:ascii="Arial" w:eastAsia="Times New Roman" w:hAnsi="Arial" w:cs="Arial"/>
          <w:b/>
          <w:i/>
          <w:sz w:val="24"/>
          <w:szCs w:val="24"/>
          <w:highlight w:val="white"/>
        </w:rPr>
        <w:lastRenderedPageBreak/>
        <w:t>CÉSAR AUGUSTO LORDUY</w:t>
      </w:r>
    </w:p>
    <w:p w14:paraId="750154B0" w14:textId="77777777" w:rsidR="00FE781C" w:rsidRPr="00106F94" w:rsidRDefault="00FE781C" w:rsidP="00E44B1C">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53C10311" w14:textId="3E4C7B57" w:rsidR="009B2BED" w:rsidRPr="005A729B" w:rsidRDefault="009B2BED" w:rsidP="00E44B1C">
      <w:pPr>
        <w:spacing w:after="0"/>
        <w:jc w:val="center"/>
        <w:rPr>
          <w:rFonts w:ascii="Arial" w:eastAsia="Times New Roman" w:hAnsi="Arial" w:cs="Arial"/>
          <w:b/>
          <w:i/>
          <w:sz w:val="24"/>
          <w:szCs w:val="24"/>
          <w:highlight w:val="white"/>
        </w:rPr>
      </w:pPr>
      <w:r>
        <w:rPr>
          <w:rFonts w:ascii="Arial" w:eastAsia="Times New Roman" w:hAnsi="Arial" w:cs="Arial"/>
          <w:b/>
          <w:i/>
          <w:sz w:val="24"/>
          <w:szCs w:val="24"/>
          <w:highlight w:val="white"/>
        </w:rPr>
        <w:lastRenderedPageBreak/>
        <w:t>JUAN CARLOS WILLS</w:t>
      </w:r>
    </w:p>
    <w:p w14:paraId="038FFFEA" w14:textId="7648F966" w:rsidR="009B2BED" w:rsidRDefault="009B2BED" w:rsidP="00C1308D">
      <w:pPr>
        <w:spacing w:after="0"/>
        <w:jc w:val="center"/>
        <w:rPr>
          <w:rFonts w:ascii="Arial" w:eastAsia="Times New Roman" w:hAnsi="Arial" w:cs="Arial"/>
          <w:sz w:val="24"/>
          <w:szCs w:val="24"/>
          <w:highlight w:val="white"/>
        </w:rPr>
        <w:sectPr w:rsidR="009B2BED" w:rsidSect="0081350F">
          <w:type w:val="continuous"/>
          <w:pgSz w:w="12240" w:h="15840"/>
          <w:pgMar w:top="2693" w:right="1701" w:bottom="2268" w:left="1701" w:header="708" w:footer="708" w:gutter="0"/>
          <w:cols w:num="2" w:space="720"/>
        </w:sectPr>
      </w:pPr>
      <w:r w:rsidRPr="00106F94">
        <w:rPr>
          <w:rFonts w:ascii="Arial" w:eastAsia="Times New Roman" w:hAnsi="Arial" w:cs="Arial"/>
          <w:sz w:val="24"/>
          <w:szCs w:val="24"/>
          <w:highlight w:val="white"/>
        </w:rPr>
        <w:t>Representante a la Cámara</w:t>
      </w:r>
    </w:p>
    <w:p w14:paraId="7213EEAD" w14:textId="5F60C48E" w:rsidR="00FE781C"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pPr>
    </w:p>
    <w:p w14:paraId="25C6A2AF" w14:textId="77777777" w:rsidR="00FE781C" w:rsidRPr="00106F94" w:rsidRDefault="00FE781C" w:rsidP="00FE781C">
      <w:pPr>
        <w:pBdr>
          <w:top w:val="nil"/>
          <w:left w:val="nil"/>
          <w:bottom w:val="nil"/>
          <w:right w:val="nil"/>
          <w:between w:val="nil"/>
        </w:pBdr>
        <w:spacing w:after="0" w:line="240" w:lineRule="auto"/>
        <w:rPr>
          <w:rFonts w:ascii="Arial" w:eastAsia="Times New Roman" w:hAnsi="Arial" w:cs="Arial"/>
          <w:color w:val="000000"/>
          <w:sz w:val="24"/>
          <w:szCs w:val="24"/>
        </w:rPr>
      </w:pPr>
      <w:bookmarkStart w:id="3" w:name="_heading=h.1fob9te" w:colFirst="0" w:colLast="0"/>
      <w:bookmarkEnd w:id="3"/>
    </w:p>
    <w:p w14:paraId="505BEA31" w14:textId="0DD41640" w:rsidR="00FE781C" w:rsidRPr="00106F94" w:rsidRDefault="009B2BED" w:rsidP="00FE781C">
      <w:pPr>
        <w:spacing w:line="240" w:lineRule="auto"/>
        <w:jc w:val="center"/>
        <w:rPr>
          <w:rFonts w:ascii="Arial" w:eastAsia="Times New Roman" w:hAnsi="Arial" w:cs="Arial"/>
          <w:b/>
          <w:sz w:val="24"/>
          <w:szCs w:val="24"/>
        </w:rPr>
      </w:pPr>
      <w:r>
        <w:rPr>
          <w:rFonts w:ascii="Arial" w:eastAsia="Times New Roman" w:hAnsi="Arial" w:cs="Arial"/>
          <w:b/>
          <w:sz w:val="24"/>
          <w:szCs w:val="24"/>
        </w:rPr>
        <w:lastRenderedPageBreak/>
        <w:t>INFORME DE PONENCIA PARA SEGUNDO</w:t>
      </w:r>
      <w:r w:rsidR="00FE781C" w:rsidRPr="00106F94">
        <w:rPr>
          <w:rFonts w:ascii="Arial" w:eastAsia="Times New Roman" w:hAnsi="Arial" w:cs="Arial"/>
          <w:b/>
          <w:sz w:val="24"/>
          <w:szCs w:val="24"/>
        </w:rPr>
        <w:t xml:space="preserve"> DEBATE EN CÁMARA DEL PROYECTO DE LEY NÚMERO 198 DE 2021 CÁMARA </w:t>
      </w:r>
    </w:p>
    <w:p w14:paraId="713432BD" w14:textId="77777777" w:rsidR="00FE781C" w:rsidRPr="00106F94" w:rsidRDefault="00FE781C" w:rsidP="00FE781C">
      <w:pPr>
        <w:pBdr>
          <w:top w:val="nil"/>
          <w:left w:val="nil"/>
          <w:bottom w:val="nil"/>
          <w:right w:val="nil"/>
          <w:between w:val="nil"/>
        </w:pBdr>
        <w:spacing w:line="240" w:lineRule="auto"/>
        <w:ind w:left="567"/>
        <w:jc w:val="center"/>
        <w:rPr>
          <w:rFonts w:ascii="Arial" w:eastAsia="Times New Roman" w:hAnsi="Arial" w:cs="Arial"/>
          <w:b/>
          <w:color w:val="221E1F"/>
          <w:sz w:val="24"/>
          <w:szCs w:val="24"/>
        </w:rPr>
      </w:pPr>
      <w:r w:rsidRPr="00106F94">
        <w:rPr>
          <w:rFonts w:ascii="Arial" w:eastAsia="Times New Roman" w:hAnsi="Arial" w:cs="Arial"/>
          <w:b/>
          <w:sz w:val="24"/>
          <w:szCs w:val="24"/>
        </w:rPr>
        <w:t>“Por medio de la cual se suspenden los efectos de los mandamientos de pago y la ejecución de todo aquel dictado en procesos ejecutivos de mínima y menor cuantía y se dictan otras disposiciones</w:t>
      </w:r>
      <w:r w:rsidRPr="00106F94">
        <w:rPr>
          <w:rFonts w:ascii="Arial" w:eastAsia="Times New Roman" w:hAnsi="Arial" w:cs="Arial"/>
          <w:b/>
          <w:color w:val="221E1F"/>
          <w:sz w:val="24"/>
          <w:szCs w:val="24"/>
        </w:rPr>
        <w:t>”</w:t>
      </w:r>
    </w:p>
    <w:p w14:paraId="7A8B6DCC" w14:textId="77777777" w:rsidR="00FE781C" w:rsidRPr="00106F94" w:rsidRDefault="00FE781C" w:rsidP="00FE781C">
      <w:pPr>
        <w:pBdr>
          <w:top w:val="nil"/>
          <w:left w:val="nil"/>
          <w:bottom w:val="nil"/>
          <w:right w:val="nil"/>
          <w:between w:val="nil"/>
        </w:pBdr>
        <w:spacing w:line="240" w:lineRule="auto"/>
        <w:ind w:left="567"/>
        <w:jc w:val="center"/>
        <w:rPr>
          <w:rFonts w:ascii="Arial" w:eastAsia="Times New Roman" w:hAnsi="Arial" w:cs="Arial"/>
          <w:b/>
          <w:color w:val="221E1F"/>
          <w:sz w:val="24"/>
          <w:szCs w:val="24"/>
        </w:rPr>
      </w:pPr>
    </w:p>
    <w:p w14:paraId="5200361A"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r w:rsidRPr="00106F94">
        <w:rPr>
          <w:rFonts w:ascii="Arial" w:eastAsia="Times New Roman" w:hAnsi="Arial" w:cs="Arial"/>
          <w:b/>
          <w:color w:val="221E1F"/>
          <w:sz w:val="24"/>
          <w:szCs w:val="24"/>
        </w:rPr>
        <w:t>I.TRÁMITE DE LA INICIATIVA</w:t>
      </w:r>
    </w:p>
    <w:p w14:paraId="6D285B2F" w14:textId="77777777" w:rsidR="00FE781C" w:rsidRPr="00106F94" w:rsidRDefault="00FE781C" w:rsidP="00FE781C">
      <w:pPr>
        <w:pBdr>
          <w:top w:val="nil"/>
          <w:left w:val="nil"/>
          <w:bottom w:val="nil"/>
          <w:right w:val="nil"/>
          <w:between w:val="nil"/>
        </w:pBdr>
        <w:spacing w:line="240" w:lineRule="auto"/>
        <w:ind w:left="360"/>
        <w:jc w:val="both"/>
        <w:rPr>
          <w:rFonts w:ascii="Arial" w:eastAsia="Times New Roman" w:hAnsi="Arial" w:cs="Arial"/>
          <w:b/>
          <w:color w:val="221E1F"/>
          <w:sz w:val="24"/>
          <w:szCs w:val="24"/>
        </w:rPr>
      </w:pPr>
    </w:p>
    <w:p w14:paraId="403F0ED0" w14:textId="1C6648F4" w:rsidR="00FE781C" w:rsidRDefault="00FE781C" w:rsidP="00FE781C">
      <w:pPr>
        <w:pBdr>
          <w:top w:val="nil"/>
          <w:left w:val="nil"/>
          <w:bottom w:val="nil"/>
          <w:right w:val="nil"/>
          <w:between w:val="nil"/>
        </w:pBdr>
        <w:spacing w:line="240" w:lineRule="auto"/>
        <w:jc w:val="both"/>
        <w:rPr>
          <w:rFonts w:ascii="Arial" w:eastAsia="Times New Roman" w:hAnsi="Arial" w:cs="Arial"/>
          <w:color w:val="221E1F"/>
          <w:sz w:val="24"/>
          <w:szCs w:val="24"/>
        </w:rPr>
      </w:pPr>
      <w:r w:rsidRPr="00106F94">
        <w:rPr>
          <w:rFonts w:ascii="Arial" w:eastAsia="Times New Roman" w:hAnsi="Arial" w:cs="Arial"/>
          <w:color w:val="221E1F"/>
          <w:sz w:val="24"/>
          <w:szCs w:val="24"/>
        </w:rPr>
        <w:t>El Proyecto de Ley número 198 de 2021 Cámara “</w:t>
      </w:r>
      <w:r w:rsidRPr="00106F94">
        <w:rPr>
          <w:rFonts w:ascii="Arial" w:eastAsia="Times New Roman" w:hAnsi="Arial" w:cs="Arial"/>
          <w:sz w:val="24"/>
          <w:szCs w:val="24"/>
        </w:rPr>
        <w:t>Por medio de la cual se suspenden los efectos de los mandamientos de pago y la ejecución de todo aquel dictado en procesos ejecutivos de mínima y menor cuantía y se dictan otras disposiciones</w:t>
      </w:r>
      <w:r w:rsidRPr="00106F94">
        <w:rPr>
          <w:rFonts w:ascii="Arial" w:eastAsia="Times New Roman" w:hAnsi="Arial" w:cs="Arial"/>
          <w:color w:val="221E1F"/>
          <w:sz w:val="24"/>
          <w:szCs w:val="24"/>
        </w:rPr>
        <w:t>”</w:t>
      </w:r>
      <w:r w:rsidRPr="00106F94">
        <w:rPr>
          <w:rFonts w:ascii="Arial" w:eastAsia="Times New Roman" w:hAnsi="Arial" w:cs="Arial"/>
          <w:b/>
          <w:color w:val="221E1F"/>
          <w:sz w:val="24"/>
          <w:szCs w:val="24"/>
        </w:rPr>
        <w:t xml:space="preserve"> </w:t>
      </w:r>
      <w:r w:rsidRPr="00106F94">
        <w:rPr>
          <w:rFonts w:ascii="Arial" w:eastAsia="Times New Roman" w:hAnsi="Arial" w:cs="Arial"/>
          <w:color w:val="221E1F"/>
          <w:sz w:val="24"/>
          <w:szCs w:val="24"/>
        </w:rPr>
        <w:t>fue radicado el 4 de agosto de 2021 en la Secretaria General de la Cámara de Representantes, siendo autor el Honorable Representante a la Cámara César Augusto Lorduy Maldonado. El texto original radica en la Gaceta 1032 de 2021.</w:t>
      </w:r>
    </w:p>
    <w:p w14:paraId="1B0978DB" w14:textId="3B202B02" w:rsidR="009B2BED" w:rsidRDefault="009B2BED" w:rsidP="009B2BED">
      <w:pPr>
        <w:pBdr>
          <w:top w:val="nil"/>
          <w:left w:val="nil"/>
          <w:bottom w:val="nil"/>
          <w:right w:val="nil"/>
          <w:between w:val="nil"/>
        </w:pBdr>
        <w:spacing w:line="240" w:lineRule="auto"/>
        <w:jc w:val="both"/>
        <w:rPr>
          <w:rFonts w:ascii="Arial" w:eastAsia="Times New Roman" w:hAnsi="Arial" w:cs="Arial"/>
          <w:color w:val="221E1F"/>
          <w:sz w:val="24"/>
          <w:szCs w:val="24"/>
        </w:rPr>
      </w:pPr>
      <w:r>
        <w:rPr>
          <w:rFonts w:ascii="Arial" w:eastAsia="Times New Roman" w:hAnsi="Arial" w:cs="Arial"/>
          <w:color w:val="221E1F"/>
          <w:sz w:val="24"/>
          <w:szCs w:val="24"/>
        </w:rPr>
        <w:t>De la misma manera</w:t>
      </w:r>
      <w:r w:rsidR="00A12C07">
        <w:rPr>
          <w:rFonts w:ascii="Arial" w:eastAsia="Times New Roman" w:hAnsi="Arial" w:cs="Arial"/>
          <w:color w:val="221E1F"/>
          <w:sz w:val="24"/>
          <w:szCs w:val="24"/>
        </w:rPr>
        <w:t>,</w:t>
      </w:r>
      <w:r>
        <w:rPr>
          <w:rFonts w:ascii="Arial" w:eastAsia="Times New Roman" w:hAnsi="Arial" w:cs="Arial"/>
          <w:color w:val="221E1F"/>
          <w:sz w:val="24"/>
          <w:szCs w:val="24"/>
        </w:rPr>
        <w:t xml:space="preserve"> fue designado como ponente para primer debate el </w:t>
      </w:r>
      <w:r w:rsidRPr="00106F94">
        <w:rPr>
          <w:rFonts w:ascii="Arial" w:eastAsia="Times New Roman" w:hAnsi="Arial" w:cs="Arial"/>
          <w:color w:val="221E1F"/>
          <w:sz w:val="24"/>
          <w:szCs w:val="24"/>
        </w:rPr>
        <w:t>Representante a la Cámara César Augusto Lorduy</w:t>
      </w:r>
      <w:r w:rsidR="00A12C07">
        <w:rPr>
          <w:rFonts w:ascii="Arial" w:eastAsia="Times New Roman" w:hAnsi="Arial" w:cs="Arial"/>
          <w:color w:val="221E1F"/>
          <w:sz w:val="24"/>
          <w:szCs w:val="24"/>
        </w:rPr>
        <w:t>,</w:t>
      </w:r>
      <w:r w:rsidRPr="00106F94">
        <w:rPr>
          <w:rFonts w:ascii="Arial" w:eastAsia="Times New Roman" w:hAnsi="Arial" w:cs="Arial"/>
          <w:color w:val="221E1F"/>
          <w:sz w:val="24"/>
          <w:szCs w:val="24"/>
        </w:rPr>
        <w:t xml:space="preserve"> </w:t>
      </w:r>
      <w:r>
        <w:rPr>
          <w:rFonts w:ascii="Arial" w:eastAsia="Times New Roman" w:hAnsi="Arial" w:cs="Arial"/>
          <w:color w:val="221E1F"/>
          <w:sz w:val="24"/>
          <w:szCs w:val="24"/>
        </w:rPr>
        <w:t>el cual rindió ponencia positiva para primer debate</w:t>
      </w:r>
      <w:r w:rsidR="00010F7B">
        <w:rPr>
          <w:rFonts w:ascii="Arial" w:eastAsia="Times New Roman" w:hAnsi="Arial" w:cs="Arial"/>
          <w:color w:val="221E1F"/>
          <w:sz w:val="24"/>
          <w:szCs w:val="24"/>
        </w:rPr>
        <w:t>,</w:t>
      </w:r>
      <w:r>
        <w:rPr>
          <w:rFonts w:ascii="Arial" w:eastAsia="Times New Roman" w:hAnsi="Arial" w:cs="Arial"/>
          <w:color w:val="221E1F"/>
          <w:sz w:val="24"/>
          <w:szCs w:val="24"/>
        </w:rPr>
        <w:t xml:space="preserve"> la cual reposa en la Gaceta 1246 de 20</w:t>
      </w:r>
      <w:r w:rsidR="00AD2DE5">
        <w:rPr>
          <w:rFonts w:ascii="Arial" w:eastAsia="Times New Roman" w:hAnsi="Arial" w:cs="Arial"/>
          <w:color w:val="221E1F"/>
          <w:sz w:val="24"/>
          <w:szCs w:val="24"/>
        </w:rPr>
        <w:t>2</w:t>
      </w:r>
      <w:r>
        <w:rPr>
          <w:rFonts w:ascii="Arial" w:eastAsia="Times New Roman" w:hAnsi="Arial" w:cs="Arial"/>
          <w:color w:val="221E1F"/>
          <w:sz w:val="24"/>
          <w:szCs w:val="24"/>
        </w:rPr>
        <w:t>2.</w:t>
      </w:r>
    </w:p>
    <w:p w14:paraId="789FF7E8" w14:textId="0B827795" w:rsidR="009B2BED" w:rsidRPr="00106F94" w:rsidRDefault="009B2BED" w:rsidP="009B2BED">
      <w:pPr>
        <w:pBdr>
          <w:top w:val="nil"/>
          <w:left w:val="nil"/>
          <w:bottom w:val="nil"/>
          <w:right w:val="nil"/>
          <w:between w:val="nil"/>
        </w:pBdr>
        <w:spacing w:line="240" w:lineRule="auto"/>
        <w:jc w:val="both"/>
        <w:rPr>
          <w:rFonts w:ascii="Arial" w:eastAsia="Times New Roman" w:hAnsi="Arial" w:cs="Arial"/>
          <w:b/>
          <w:color w:val="221E1F"/>
          <w:sz w:val="24"/>
          <w:szCs w:val="24"/>
        </w:rPr>
      </w:pPr>
      <w:r>
        <w:rPr>
          <w:rFonts w:ascii="Arial" w:eastAsia="Times New Roman" w:hAnsi="Arial" w:cs="Arial"/>
          <w:color w:val="221E1F"/>
          <w:sz w:val="24"/>
          <w:szCs w:val="24"/>
        </w:rPr>
        <w:t>El proyecto fue aprobado con modificaciones el 29 de marzo de 2022, tal y como consta en el Acta 37 de 2022 de la Comisión Primera de la Cámara de Representantes.</w:t>
      </w:r>
      <w:r w:rsidR="00AD2DE5">
        <w:rPr>
          <w:rFonts w:ascii="Arial" w:eastAsia="Times New Roman" w:hAnsi="Arial" w:cs="Arial"/>
          <w:color w:val="221E1F"/>
          <w:sz w:val="24"/>
          <w:szCs w:val="24"/>
        </w:rPr>
        <w:t xml:space="preserve"> Terminado el debate fue adicionado como ponente para segundo debate el Representante Juan Carlos Wills.</w:t>
      </w:r>
    </w:p>
    <w:p w14:paraId="4E281B67"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p>
    <w:p w14:paraId="73B01016"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r w:rsidRPr="00106F94">
        <w:rPr>
          <w:rFonts w:ascii="Arial" w:eastAsia="Times New Roman" w:hAnsi="Arial" w:cs="Arial"/>
          <w:b/>
          <w:color w:val="221E1F"/>
          <w:sz w:val="24"/>
          <w:szCs w:val="24"/>
        </w:rPr>
        <w:t>II. OBJETIVO DE LA PROPUESTA</w:t>
      </w:r>
    </w:p>
    <w:p w14:paraId="44661BBF"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color w:val="221E1F"/>
          <w:sz w:val="24"/>
          <w:szCs w:val="24"/>
        </w:rPr>
      </w:pPr>
    </w:p>
    <w:p w14:paraId="1C433CB0" w14:textId="56BAFFDB"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r w:rsidRPr="00106F94">
        <w:rPr>
          <w:rFonts w:ascii="Arial" w:eastAsia="Times New Roman" w:hAnsi="Arial" w:cs="Arial"/>
          <w:color w:val="221E1F"/>
          <w:sz w:val="24"/>
          <w:szCs w:val="24"/>
        </w:rPr>
        <w:t xml:space="preserve">Suspender los efectos de los mandamientos de pago decretados en los procesos ejecutivos de mínima y menor cuantía, originados o derivados en pretensiones, obligaciones o deudas causadas e incumplidas desde la declaratoria de emergencia sanitaria ordenada por el Gobierno Nacional el 12 de marzo de 2020, </w:t>
      </w:r>
      <w:r w:rsidR="00EE7C62" w:rsidRPr="00106F94">
        <w:rPr>
          <w:rFonts w:ascii="Arial" w:hAnsi="Arial" w:cs="Arial"/>
          <w:sz w:val="24"/>
          <w:szCs w:val="24"/>
        </w:rPr>
        <w:t xml:space="preserve">hasta </w:t>
      </w:r>
      <w:r w:rsidR="00EE7C62">
        <w:rPr>
          <w:rFonts w:ascii="Arial" w:hAnsi="Arial" w:cs="Arial"/>
          <w:sz w:val="24"/>
          <w:szCs w:val="24"/>
        </w:rPr>
        <w:t xml:space="preserve">diez (10) </w:t>
      </w:r>
      <w:r w:rsidR="00EE7C62" w:rsidRPr="00106F94">
        <w:rPr>
          <w:rFonts w:ascii="Arial" w:hAnsi="Arial" w:cs="Arial"/>
          <w:sz w:val="24"/>
          <w:szCs w:val="24"/>
        </w:rPr>
        <w:t xml:space="preserve">meses después que la </w:t>
      </w:r>
      <w:r w:rsidR="00EE7C62">
        <w:rPr>
          <w:rFonts w:ascii="Arial" w:hAnsi="Arial" w:cs="Arial"/>
          <w:sz w:val="24"/>
          <w:szCs w:val="24"/>
        </w:rPr>
        <w:t>presente ley entre en vigencia.</w:t>
      </w:r>
      <w:r w:rsidRPr="00106F94">
        <w:rPr>
          <w:rFonts w:ascii="Arial" w:eastAsia="Times New Roman" w:hAnsi="Arial" w:cs="Arial"/>
          <w:color w:val="221E1F"/>
          <w:sz w:val="24"/>
          <w:szCs w:val="24"/>
        </w:rPr>
        <w:t xml:space="preserve"> Con ello se pretende que, así como se dictaron medidas que fueron necesarias y oportunas para salvaguardar la vida y la salud de los habitantes del territorio nacional, se dicten, </w:t>
      </w:r>
      <w:r w:rsidRPr="00106F94">
        <w:rPr>
          <w:rFonts w:ascii="Arial" w:eastAsia="Times New Roman" w:hAnsi="Arial" w:cs="Arial"/>
          <w:color w:val="221E1F"/>
          <w:sz w:val="24"/>
          <w:szCs w:val="24"/>
        </w:rPr>
        <w:lastRenderedPageBreak/>
        <w:t>consecuentemente, medidas que favorezcan a las familias, microempresa o pequeña empresa o, Empresa de Economía Solidaria que, además de sufrir las peores consecuencias de la crisis económica, deben enfrentarse a proceso judiciales por circunstancias ajenas a su voluntad.</w:t>
      </w:r>
    </w:p>
    <w:p w14:paraId="2E50FA02" w14:textId="2FAAF5EF"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4CA9A226" w14:textId="77777777" w:rsidR="002649A9" w:rsidRPr="00106F94" w:rsidRDefault="002649A9"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7393E408"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r w:rsidRPr="00106F94">
        <w:rPr>
          <w:rFonts w:ascii="Arial" w:eastAsia="Times New Roman" w:hAnsi="Arial" w:cs="Arial"/>
          <w:b/>
          <w:color w:val="221E1F"/>
          <w:sz w:val="24"/>
          <w:szCs w:val="24"/>
        </w:rPr>
        <w:t>III. EXPOSICIÓN DE MOTIVOS</w:t>
      </w:r>
    </w:p>
    <w:p w14:paraId="0BA007C9" w14:textId="77777777" w:rsidR="00FE781C" w:rsidRPr="00106F94" w:rsidRDefault="00FE781C" w:rsidP="00FE781C">
      <w:pPr>
        <w:spacing w:line="240" w:lineRule="auto"/>
        <w:jc w:val="both"/>
        <w:rPr>
          <w:rFonts w:ascii="Arial" w:eastAsia="Times New Roman" w:hAnsi="Arial" w:cs="Arial"/>
          <w:color w:val="221E1F"/>
          <w:sz w:val="24"/>
          <w:szCs w:val="24"/>
        </w:rPr>
      </w:pPr>
    </w:p>
    <w:p w14:paraId="15576DAF" w14:textId="77777777" w:rsidR="00FE781C" w:rsidRPr="00106F94" w:rsidRDefault="00FE781C" w:rsidP="00FE781C">
      <w:pPr>
        <w:numPr>
          <w:ilvl w:val="0"/>
          <w:numId w:val="36"/>
        </w:numPr>
        <w:pBdr>
          <w:top w:val="nil"/>
          <w:left w:val="nil"/>
          <w:bottom w:val="nil"/>
          <w:right w:val="nil"/>
          <w:between w:val="nil"/>
        </w:pBdr>
        <w:spacing w:after="160" w:line="240" w:lineRule="auto"/>
        <w:jc w:val="both"/>
        <w:rPr>
          <w:rFonts w:ascii="Arial" w:eastAsia="Times New Roman" w:hAnsi="Arial" w:cs="Arial"/>
          <w:color w:val="000000"/>
          <w:sz w:val="24"/>
          <w:szCs w:val="24"/>
        </w:rPr>
      </w:pPr>
      <w:r w:rsidRPr="00106F94">
        <w:rPr>
          <w:rFonts w:ascii="Arial" w:eastAsia="Times New Roman" w:hAnsi="Arial" w:cs="Arial"/>
          <w:b/>
          <w:color w:val="000000"/>
          <w:sz w:val="24"/>
          <w:szCs w:val="24"/>
        </w:rPr>
        <w:t xml:space="preserve">Justificación </w:t>
      </w:r>
    </w:p>
    <w:p w14:paraId="561786E0"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Necesidad de las medidas que se pretende adoptar</w:t>
      </w:r>
    </w:p>
    <w:p w14:paraId="5F9E10F8"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Fundamentado en el Artículo 49 y 95 Superior, que indican que, entre otras circunstancias, toda persona tiene el deber de cuidar su salud y debe obrar conforme al principio de solidaridad social, de manera humanitaria para responder a la protección de la salud y la vida; la Ley 1751 del 2015, que desarrolla el contenido del derecho fundamental a la salud y expone en su artículo 10 que se debe propender por el autocuidado personal, familiar y comunitario, al igual que se debe actuar de manera solidaria ante las situaciones que ponen en peligro la vida y la salud de las personas; y la Ley 9 de 1979 que resalta que corresponde al Estado expedir las medidas necesarias para asegurar la higiene y seguridad en todas las actividades, así como vigilar su cumplimiento a través de las autoridades de salud, el 12 de marzo del 2020, el Gobierno Nacional expidió el Decreto 385 por medio del cual se declaró la Emergencia Sanitaria, bajo la amenaza real, como al efecto ocurrió, de la entrada a Colombia de nuevo Coronavirus.  </w:t>
      </w:r>
    </w:p>
    <w:p w14:paraId="4DFDF2E1"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Dentro de las medidas más satisfactorias para contrarrestar la expansión del virus, se decretaron las de confinamiento, asilamiento y cuarentenas que hicieron mella en diferentes escenarios del país. Dentro de esos, la economía y el empleo, principalmente, se vieron seriamente afectados. </w:t>
      </w:r>
    </w:p>
    <w:p w14:paraId="225B7416"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En un ejercicio previsión, el Gobierno Nacional declaró la primera emergencia económica, a través del Decreto 417 del 17 de marzo del 2020. En su parte motiva, se expusieron proyecciones preocupantes de lo que sería el paso de la pandemia por la nación. Se hizo el reconocimiento de que el nuevo Coronavirus era una amenaza global que revelaría los problemas en salud pública, así como serias </w:t>
      </w:r>
      <w:r w:rsidRPr="00106F94">
        <w:rPr>
          <w:rFonts w:ascii="Arial" w:hAnsi="Arial" w:cs="Arial"/>
          <w:sz w:val="24"/>
          <w:szCs w:val="24"/>
        </w:rPr>
        <w:lastRenderedPageBreak/>
        <w:t xml:space="preserve">afectaciones al sistema económico que serían difícilmente calculables. Allí, se indicaron unas cifras respecto del empleo en el país que resultaban aún más preocupantes: </w:t>
      </w:r>
    </w:p>
    <w:p w14:paraId="29813B5F" w14:textId="77777777" w:rsidR="00FE781C" w:rsidRPr="00106F94" w:rsidRDefault="00FE781C" w:rsidP="00FE781C">
      <w:pPr>
        <w:pStyle w:val="NormalWeb"/>
        <w:shd w:val="clear" w:color="auto" w:fill="FFFFFF"/>
        <w:ind w:left="567" w:right="567"/>
        <w:jc w:val="both"/>
        <w:rPr>
          <w:rFonts w:ascii="Arial" w:eastAsiaTheme="minorHAnsi" w:hAnsi="Arial" w:cs="Arial"/>
          <w:b/>
          <w:u w:val="single"/>
        </w:rPr>
      </w:pPr>
      <w:r w:rsidRPr="00106F94">
        <w:rPr>
          <w:rFonts w:ascii="Arial" w:eastAsiaTheme="minorHAnsi" w:hAnsi="Arial" w:cs="Arial"/>
        </w:rPr>
        <w:t xml:space="preserve">“El 42,4%1 de los trabajadores en Colombia trabajan por cuenta propia y 56,4% no son asalariados. Los ingresos de este tipo de trabajadores y sus dependientes dependen de su trabajo diario y esta actividad se ha visto repentina y sorprendentemente restringida por las medidas necesarias para controlar el escalamiento de la pandemia. </w:t>
      </w:r>
      <w:r w:rsidRPr="00106F94">
        <w:rPr>
          <w:rFonts w:ascii="Arial" w:eastAsiaTheme="minorHAnsi" w:hAnsi="Arial" w:cs="Arial"/>
          <w:b/>
          <w:u w:val="single"/>
        </w:rPr>
        <w:t>Adicionalmente, estos hogares son vulnerables al no contar con mecanismos para reemplazar los ingresos que dejarán de percibir por causa de las medidas sanitarias.”</w:t>
      </w:r>
    </w:p>
    <w:p w14:paraId="5DCF7B02" w14:textId="77777777" w:rsidR="00FE781C" w:rsidRPr="00106F94" w:rsidRDefault="00FE781C" w:rsidP="00FE781C">
      <w:pPr>
        <w:pStyle w:val="NormalWeb"/>
        <w:shd w:val="clear" w:color="auto" w:fill="FFFFFF"/>
        <w:jc w:val="both"/>
        <w:rPr>
          <w:rFonts w:ascii="Arial" w:eastAsiaTheme="minorHAnsi" w:hAnsi="Arial" w:cs="Arial"/>
        </w:rPr>
      </w:pPr>
      <w:r w:rsidRPr="00106F94">
        <w:rPr>
          <w:rFonts w:ascii="Arial" w:eastAsiaTheme="minorHAnsi" w:hAnsi="Arial" w:cs="Arial"/>
        </w:rPr>
        <w:t>El Gobierno Nacional asintió que las medidas sanitarias reducirían el flujo de caja de los hogares colombianos y de las empresas, y que esa situación derivaría en el incumplimiento de pagos y obligaciones afectando igualmente la estrecha relación de confianza existente entre deudores y acreedores.</w:t>
      </w:r>
    </w:p>
    <w:p w14:paraId="7BAEF136" w14:textId="77777777" w:rsidR="00FE781C" w:rsidRPr="00106F94" w:rsidRDefault="00FE781C" w:rsidP="00FE781C">
      <w:pPr>
        <w:pStyle w:val="NormalWeb"/>
        <w:shd w:val="clear" w:color="auto" w:fill="FFFFFF"/>
        <w:jc w:val="both"/>
        <w:rPr>
          <w:rFonts w:ascii="Arial" w:eastAsiaTheme="minorHAnsi" w:hAnsi="Arial" w:cs="Arial"/>
        </w:rPr>
      </w:pPr>
      <w:r w:rsidRPr="00106F94">
        <w:rPr>
          <w:rFonts w:ascii="Arial" w:eastAsiaTheme="minorHAnsi" w:hAnsi="Arial" w:cs="Arial"/>
        </w:rPr>
        <w:t>En general, en ese decreto declaratorio se estableció una gran ruta dirigida a tratar de contener los efectos que, más allá de la salud, se preveían afectados. Tal como fue invocado el estado de excepción, la mayoría de las medidas tuvieron un contenido económico fuerte comoquiera que el único recurso conocido para contrarrestar el crecimiento de la pandemia, resultaba ser el confinamiento y, consecuentemente, la interrupción de actividades de muchos sectores económicos. Así pues, se precisó la necesidad de adoptar medidas extraordinarias tendientes a aliviar las obligaciones tributarias y financieras, entre otras, afectadas en su cumplimiento de manera directa por efectos de la crisis.</w:t>
      </w:r>
    </w:p>
    <w:p w14:paraId="01689DA1"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En ese sentido, el Gobierno nacional expidió varios decretos en lo que se buscó conjurar los efectos de la crisis. Dentro de las motivaciones de esos decretos de emergencia, se resaltaron varias situaciones que condujeron a la toma de esta decisión. Entre ellas, el comunicado de prensa 20/114 del 27 de marzo del 2020 en el que el Fondo Monetario Internacional publicó la </w:t>
      </w:r>
      <w:r w:rsidRPr="00106F94">
        <w:rPr>
          <w:rFonts w:ascii="Arial" w:eastAsia="Times New Roman" w:hAnsi="Arial" w:cs="Arial"/>
          <w:color w:val="000000"/>
          <w:sz w:val="24"/>
          <w:szCs w:val="24"/>
        </w:rPr>
        <w:t>“</w:t>
      </w:r>
      <w:r w:rsidRPr="00106F94">
        <w:rPr>
          <w:rFonts w:ascii="Arial" w:hAnsi="Arial" w:cs="Arial"/>
          <w:sz w:val="24"/>
          <w:szCs w:val="24"/>
        </w:rPr>
        <w:t>Declaración conjunta del Presidente del Comité Monetario y Financiero Internacional y la Directora Gerente del Fondo Monetario Internacional”, la cual expresa:</w:t>
      </w:r>
    </w:p>
    <w:p w14:paraId="2573EA74" w14:textId="77777777" w:rsidR="00FE781C" w:rsidRPr="00106F94" w:rsidRDefault="00FE781C" w:rsidP="00FE781C">
      <w:pPr>
        <w:spacing w:after="0"/>
        <w:jc w:val="both"/>
        <w:rPr>
          <w:rFonts w:ascii="Arial" w:hAnsi="Arial" w:cs="Arial"/>
          <w:sz w:val="24"/>
          <w:szCs w:val="24"/>
        </w:rPr>
      </w:pPr>
    </w:p>
    <w:p w14:paraId="6AF62A1F" w14:textId="77777777" w:rsidR="00FE781C" w:rsidRPr="00106F94" w:rsidRDefault="00FE781C" w:rsidP="00FE781C">
      <w:pPr>
        <w:spacing w:after="0"/>
        <w:ind w:left="567" w:right="567"/>
        <w:jc w:val="both"/>
        <w:rPr>
          <w:rFonts w:ascii="Arial" w:hAnsi="Arial" w:cs="Arial"/>
          <w:sz w:val="24"/>
          <w:szCs w:val="24"/>
        </w:rPr>
      </w:pPr>
      <w:r w:rsidRPr="00106F94">
        <w:rPr>
          <w:rFonts w:ascii="Arial" w:hAnsi="Arial" w:cs="Arial"/>
          <w:sz w:val="24"/>
          <w:szCs w:val="24"/>
        </w:rPr>
        <w:t>“[...]</w:t>
      </w:r>
    </w:p>
    <w:p w14:paraId="00BAE5A2" w14:textId="77777777" w:rsidR="00FE781C" w:rsidRPr="00106F94" w:rsidRDefault="00FE781C" w:rsidP="00FE781C">
      <w:pPr>
        <w:spacing w:after="0"/>
        <w:ind w:left="567" w:right="567"/>
        <w:jc w:val="both"/>
        <w:rPr>
          <w:rFonts w:ascii="Arial" w:hAnsi="Arial" w:cs="Arial"/>
          <w:sz w:val="24"/>
          <w:szCs w:val="24"/>
        </w:rPr>
      </w:pPr>
      <w:r w:rsidRPr="00106F94">
        <w:rPr>
          <w:rFonts w:ascii="Arial" w:hAnsi="Arial" w:cs="Arial"/>
          <w:sz w:val="24"/>
          <w:szCs w:val="24"/>
        </w:rPr>
        <w:t>Estamos en una situación sin precedentes en la que una pandemia mundial se ha convertido en una crisis económica y financiera. Dada la interrupción repentina de la actividad económica, el producto mundial se contraerá en 2020. 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 [...]”</w:t>
      </w:r>
    </w:p>
    <w:p w14:paraId="1D082530" w14:textId="77777777" w:rsidR="00FE781C" w:rsidRPr="00106F94" w:rsidRDefault="00FE781C" w:rsidP="00FE781C">
      <w:pPr>
        <w:spacing w:after="0"/>
        <w:ind w:right="567"/>
        <w:jc w:val="both"/>
        <w:rPr>
          <w:rFonts w:ascii="Arial" w:hAnsi="Arial" w:cs="Arial"/>
          <w:sz w:val="24"/>
          <w:szCs w:val="24"/>
        </w:rPr>
      </w:pPr>
    </w:p>
    <w:p w14:paraId="5C8751CB"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En palabras de FMI, los esfuerzos por procurar la normalización de la actividad económica y financiera deberían ser mucho mayores a los ya tomados, por eso, en este decreto, el Gobierno Nacional, entendió las dificultades derivadas del confinamiento y, por ende, que la disminución en el consumo se traduciría en la imposibilidad para algunos comerciantes de seguir cumpliendo con las obligaciones periódicas.</w:t>
      </w:r>
    </w:p>
    <w:p w14:paraId="4E59B64B"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 </w:t>
      </w:r>
    </w:p>
    <w:p w14:paraId="62B33FCC"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El Gobierno Nacional, para tomar diferentes decisiones tan trascendentales en materia económica, tuvo en cuenta el precedente internacional que se tornó en una realidad nacional durante los meses más complicados de la emergencia sanitaria y económica. Esto es, que el aislamiento preventivo obligatorio, no solo en Colombia, sino en todo el mundo, se tradujo en la paralización de las actividades económicas y, además, el aplazamiento de las decisiones de consumo de los hogares. Por consecuencia, las empresas se estaban viendo en la necesidad de posponer la producción de bienes y servicios en vista del decaimiento de la demanda, y así, la disminución sustancial de ingresos para mantener a flote los comercios. Si bien es cierto la economía en general se vio afectada por los confinamientos, un número importante de pequeñas y medianas empresas son las que más han sufrido con la cesación de pagos y la necesidad de librar capital, viéndose en la obligación de desemplear a su personal. </w:t>
      </w:r>
    </w:p>
    <w:p w14:paraId="11A36C2C" w14:textId="77777777" w:rsidR="00FE781C" w:rsidRPr="00106F94" w:rsidRDefault="00FE781C" w:rsidP="00FE781C">
      <w:pPr>
        <w:spacing w:after="0"/>
        <w:jc w:val="both"/>
        <w:rPr>
          <w:rFonts w:ascii="Arial" w:hAnsi="Arial" w:cs="Arial"/>
          <w:sz w:val="24"/>
          <w:szCs w:val="24"/>
        </w:rPr>
      </w:pPr>
    </w:p>
    <w:p w14:paraId="45799F83"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Así pues, lo que se pretende denotar es que, el Gobierno Nacional comprendió, por la naciente experiencia internacional, que las dificultades sobrevinientes excedían </w:t>
      </w:r>
      <w:r w:rsidRPr="00106F94">
        <w:rPr>
          <w:rFonts w:ascii="Arial" w:hAnsi="Arial" w:cs="Arial"/>
          <w:sz w:val="24"/>
          <w:szCs w:val="24"/>
        </w:rPr>
        <w:lastRenderedPageBreak/>
        <w:t xml:space="preserve">la esfera de la salud, para tocar la mayoría de los escenarios de otros órdenes. Por ello, se optó por invocar el estado de excepción de emergencia económica pues, más allá de entender que los efectos de la crisis únicamente derivan en la afectación de salud de las personas, se requería la disposición de recursos que impactaran benéficamente a la población. Entonces, bajo en entendido de que no hay discusión de que existe una crisis económica, que se incrementaron las tasas de desempleo como consecuencia de las medidas de aislamiento, que el comercio y la economía en general afrontó una disminución importante de ingresos y que, en la medida en que sigue siendo incierta la posibilidad de retornar a la vida en normalidad que se conocía antes del 12 de marzo, se hace necesario buscar medidas de suspensión o alivio a los cobros de las obligaciones incumplidas con motivo del cumplimento de la orden sanitaria. Está probada la poca disponibilidad económica a la que se han visto sometidos los hogares colombianos y, por tanto, deben tomarse decisiones respecto de la carga que se impone a los deudores, respecto de la mora como consecuencia de la dificultar sanitaria.  </w:t>
      </w:r>
    </w:p>
    <w:p w14:paraId="13E6DEEA" w14:textId="77777777" w:rsidR="00017196" w:rsidRDefault="00017196" w:rsidP="00FE781C">
      <w:pPr>
        <w:rPr>
          <w:rFonts w:ascii="Arial" w:hAnsi="Arial" w:cs="Arial"/>
          <w:b/>
          <w:sz w:val="24"/>
          <w:szCs w:val="24"/>
          <w:u w:val="single"/>
        </w:rPr>
      </w:pPr>
    </w:p>
    <w:p w14:paraId="4096CD6D" w14:textId="4FD0AF6E"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 xml:space="preserve">Congelamiento no es condonación </w:t>
      </w:r>
    </w:p>
    <w:p w14:paraId="7453A1FD"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Las medidas de aislamiento, que no tuvieron distingo en la actividad desempeñada, también afectaron el normal desarrollo de la actividad judicial que por la necesidad de salvaguardar a los servidores de la Rama, abogados y usuarios en general, como la gran mayoría de trabajadores del país, siguieron actividades vía teletrabajo. Sin embargo, en la medida en que la estructura judicial no estaba preparada para laborar de manera remota, el Consejo Superior de la Judicatura a través de un Acuerdo expedido el 15 de marzo de 2020, suspendió los términos judiciales de todos los procesos del país y no volvió a reactivarlos hasta el 1 de julio de la misma anualidad. Si bien se entiende que esa medida la tomó el Consejo Superior de la Judicatura en desarrollo de su obligación constitucional de ser autoridad administrativa de la Rama Judicial, es un precedente de pausa en las actividades judiciales como consecuencia de la emergencia sanitaria. </w:t>
      </w:r>
    </w:p>
    <w:p w14:paraId="477A6D7B" w14:textId="77777777" w:rsidR="00FE781C" w:rsidRPr="00106F94" w:rsidRDefault="00FE781C" w:rsidP="00FE781C">
      <w:pPr>
        <w:spacing w:after="0"/>
        <w:jc w:val="both"/>
        <w:rPr>
          <w:rFonts w:ascii="Arial" w:hAnsi="Arial" w:cs="Arial"/>
          <w:sz w:val="24"/>
          <w:szCs w:val="24"/>
        </w:rPr>
      </w:pPr>
    </w:p>
    <w:p w14:paraId="3EC6EA37"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Ahora, lo que aquí se propone, es una medida de fondo relacionada con la naturaleza de las obligaciones que no han llegado a cumplirse y que son objeto de proceso judicial, pero que, en la práctica, tendría la misma justificación de las </w:t>
      </w:r>
      <w:r w:rsidRPr="00106F94">
        <w:rPr>
          <w:rFonts w:ascii="Arial" w:hAnsi="Arial" w:cs="Arial"/>
          <w:sz w:val="24"/>
          <w:szCs w:val="24"/>
        </w:rPr>
        <w:lastRenderedPageBreak/>
        <w:t xml:space="preserve">medidas que, administrativamente, se tomaron en aras de mantener la salud y vida de los usuarios y trabajadores. La suspensión será una de las opciones para que los deudores puedan tener el flujo de capital que, normalmente, este proceso les impide una vez se dictan las medidas cautelares.   </w:t>
      </w:r>
    </w:p>
    <w:p w14:paraId="70141459" w14:textId="77777777" w:rsidR="00FE781C" w:rsidRPr="00106F94" w:rsidRDefault="00FE781C" w:rsidP="00FE781C">
      <w:pPr>
        <w:spacing w:after="0"/>
        <w:jc w:val="both"/>
        <w:rPr>
          <w:rFonts w:ascii="Arial" w:hAnsi="Arial" w:cs="Arial"/>
          <w:sz w:val="24"/>
          <w:szCs w:val="24"/>
        </w:rPr>
      </w:pPr>
    </w:p>
    <w:p w14:paraId="4D5D8867"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En todo caso, la suspensión de que habla este proyecto de ley, a diferencia de la suspensión administrativa, sí permitiría que esa recuperación de cartera que requieren los acreedores se logre pues, muy por el contrario de buscar la condonación o detener los procesos sin una solución indeterminada, se incentivará que los morosos puedan normalizar sus obligaciones. </w:t>
      </w:r>
    </w:p>
    <w:p w14:paraId="1846AAD1" w14:textId="77777777" w:rsidR="00FE781C" w:rsidRPr="00106F94" w:rsidRDefault="00FE781C" w:rsidP="00FE781C">
      <w:pPr>
        <w:rPr>
          <w:rFonts w:ascii="Arial" w:hAnsi="Arial" w:cs="Arial"/>
          <w:sz w:val="24"/>
          <w:szCs w:val="24"/>
        </w:rPr>
      </w:pPr>
    </w:p>
    <w:p w14:paraId="6A13CDC5"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 xml:space="preserve">Acuerdo o pago sobre la mora y no sobre el total de la obligación </w:t>
      </w:r>
    </w:p>
    <w:p w14:paraId="14C9E11A"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Tal como se expuso anteriormente, existe claridad en que la emergencia sanitaria ha golpeado las finanzas de familias, microempresas o pequeñas empresas o Empresas de Economía Solidaria que, con reducción de ingresos o pérdidas de empleo, han incurrido en mora en las obligaciones que en situación de normalidad habían podido mantener y cumplir. Quienes están afrontando estas situaciones, ahora se ven en un escenario que se agrava porque ya son sujetos de un proceso ejecutivo que dicta medidas cautelares que les impiden hacer uso del poco capital con el que cuentan. </w:t>
      </w:r>
    </w:p>
    <w:p w14:paraId="1FCD5074"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Lo que se propone entonces, es que esos procesos ejecutivos que se encuentran contemplados en el Libro Tercero, Sección Primera, Título Único de la Ley 1564 de 2012 -Código General del Proceso- puedan, con esta opción, terminarse con el pago de lo constituido en mora, es decir, con el monto que se encuentra vencido y por el cual el acreedor inició el proceso. Esta medida encuentra asidero en que no es razonable, en tiempos de emergencia y excepcionalidad, exigir pagos completos de obligaciones que, como se ha insistido, responden a la incapacidad de pago derivada de la Pandemia del Covid-19.</w:t>
      </w:r>
    </w:p>
    <w:p w14:paraId="2B7C0D27" w14:textId="2D79325E"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Por tal motivo, se considera necesario hacer una serie de excepciones que permitan que los deudores encuentren alivio, no solo en la congelación de las medidas cautelares, sino que haya una posibilidad real de saldar la mora con los acreedores, </w:t>
      </w:r>
      <w:r w:rsidRPr="00106F94">
        <w:rPr>
          <w:rFonts w:ascii="Arial" w:hAnsi="Arial" w:cs="Arial"/>
          <w:sz w:val="24"/>
          <w:szCs w:val="24"/>
        </w:rPr>
        <w:lastRenderedPageBreak/>
        <w:t xml:space="preserve">de manera que se termine el proceso. No quiere esto decir que el pago de la mora extinga la obligación, lo que se pretende, es que se normalice la situación del deudor, el acreedor pueda recuperar cartera y se incentive a la continuidad en el cumplimiento de las obligaciones futuras. Es apenas razonable, comprender que quien no ha tenido para cancelar las cuotas periódicas, no tenga el capital suficiente para extinguir la totalidad de la obligación. De modo que, lo que se pretende, es que el proceso judicial, que a razón de impartir justicia ordena el pago total de una deuda, pueda terminar con el pago de lo constituido en mora o con un acuerdo de pago por ese mismo monto. </w:t>
      </w:r>
    </w:p>
    <w:p w14:paraId="51116A68"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 xml:space="preserve">Restablecimiento de la normalidad </w:t>
      </w:r>
    </w:p>
    <w:p w14:paraId="648931BE" w14:textId="40AA6840" w:rsidR="00FE781C" w:rsidRDefault="00FE781C" w:rsidP="00FE781C">
      <w:pPr>
        <w:jc w:val="both"/>
        <w:rPr>
          <w:rFonts w:ascii="Arial" w:hAnsi="Arial" w:cs="Arial"/>
          <w:sz w:val="24"/>
          <w:szCs w:val="24"/>
        </w:rPr>
      </w:pPr>
      <w:r w:rsidRPr="00106F94">
        <w:rPr>
          <w:rFonts w:ascii="Arial" w:hAnsi="Arial" w:cs="Arial"/>
          <w:sz w:val="24"/>
          <w:szCs w:val="24"/>
        </w:rPr>
        <w:t xml:space="preserve">Es un hecho que, ante la incertidumbre que ha traído el virus, se especule acerca de la posibilidad de volver a la normalidad conocida antes del 12 de marzo del 2020. El Gobierno Nacional, que bien ha intentado mitigar los efectos de la Pandemia, ahora, como el mundo entero, le apuesta a la vacunación de la población colombiana como recurso para restablecer las actividades que se pausaron. Comoquiera que es disposición de las autoridades analizar el contexto para determinar el momento en el que el país pueda retomar el orden conocido, se entenderá por el restablecimiento de la normalidad, el levantamiento de toda medida sanitaria derivada los efectos del COVID-19, bien sea porque la inoculación de la población resultó exitosa o porque las circunstancias demuestren que el peligro masivo del virus, ha desaparecido. </w:t>
      </w:r>
    </w:p>
    <w:p w14:paraId="1343675F" w14:textId="10A609C3" w:rsidR="00906B89" w:rsidRPr="00017196" w:rsidRDefault="0058014B" w:rsidP="00906B89">
      <w:pPr>
        <w:pStyle w:val="Prrafodelista"/>
        <w:numPr>
          <w:ilvl w:val="0"/>
          <w:numId w:val="36"/>
        </w:numPr>
        <w:jc w:val="both"/>
        <w:rPr>
          <w:rFonts w:ascii="Arial" w:hAnsi="Arial" w:cs="Arial"/>
          <w:b/>
          <w:sz w:val="24"/>
          <w:szCs w:val="24"/>
        </w:rPr>
      </w:pPr>
      <w:r>
        <w:rPr>
          <w:rFonts w:ascii="Arial" w:hAnsi="Arial" w:cs="Arial"/>
          <w:b/>
          <w:sz w:val="24"/>
          <w:szCs w:val="24"/>
        </w:rPr>
        <w:t>Datos</w:t>
      </w:r>
      <w:r w:rsidRPr="00906B89">
        <w:rPr>
          <w:rFonts w:ascii="Arial" w:hAnsi="Arial" w:cs="Arial"/>
          <w:b/>
          <w:sz w:val="24"/>
          <w:szCs w:val="24"/>
        </w:rPr>
        <w:t xml:space="preserve"> De La Rama Judicial</w:t>
      </w:r>
    </w:p>
    <w:p w14:paraId="63315F06" w14:textId="23238908" w:rsidR="00906B89" w:rsidRPr="00D344E8" w:rsidRDefault="00906B89" w:rsidP="00D344E8">
      <w:pPr>
        <w:jc w:val="center"/>
        <w:rPr>
          <w:rFonts w:ascii="Arial" w:hAnsi="Arial" w:cs="Arial"/>
          <w:b/>
          <w:sz w:val="24"/>
          <w:szCs w:val="24"/>
        </w:rPr>
      </w:pPr>
      <w:r w:rsidRPr="009228E1">
        <w:rPr>
          <w:rFonts w:ascii="Arial" w:hAnsi="Arial" w:cs="Arial"/>
          <w:noProof/>
          <w:sz w:val="24"/>
          <w:szCs w:val="24"/>
          <w:lang w:val="es-CO" w:eastAsia="es-CO"/>
        </w:rPr>
        <w:drawing>
          <wp:inline distT="0" distB="0" distL="0" distR="0" wp14:anchorId="5AB118C5" wp14:editId="05C2DE4F">
            <wp:extent cx="2590711" cy="1958702"/>
            <wp:effectExtent l="0" t="0" r="63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5273" cy="1962151"/>
                    </a:xfrm>
                    <a:prstGeom prst="rect">
                      <a:avLst/>
                    </a:prstGeom>
                  </pic:spPr>
                </pic:pic>
              </a:graphicData>
            </a:graphic>
          </wp:inline>
        </w:drawing>
      </w:r>
    </w:p>
    <w:p w14:paraId="1CFBC558" w14:textId="46451487" w:rsidR="00906B89" w:rsidRPr="00D25A8D" w:rsidRDefault="00906B89" w:rsidP="00D25A8D">
      <w:pPr>
        <w:jc w:val="both"/>
        <w:rPr>
          <w:rFonts w:ascii="Arial" w:hAnsi="Arial" w:cs="Arial"/>
          <w:sz w:val="24"/>
          <w:szCs w:val="24"/>
        </w:rPr>
      </w:pPr>
      <w:r w:rsidRPr="00D25A8D">
        <w:rPr>
          <w:rFonts w:ascii="Arial" w:hAnsi="Arial" w:cs="Arial"/>
          <w:sz w:val="24"/>
          <w:szCs w:val="24"/>
        </w:rPr>
        <w:lastRenderedPageBreak/>
        <w:t>En el año 2020, al igual que en el año 2019, la mayor demanda en la especialidad civil corresponde a procesos ejecutivos con una participación del 62%, y los ejecutivos con garantía real representan un porcentaje del 7%. Posteriormente están los procesos declarativos verbales de restitución de inmueble arrendado con un 4% y en menor participación se encuentran los procesos declarativos verbales de pertenencia con una participación del 3% y otros procesos civiles participan con el 11%.</w:t>
      </w:r>
    </w:p>
    <w:p w14:paraId="495EE4F8" w14:textId="52C48511" w:rsidR="00526487" w:rsidRPr="00D25A8D" w:rsidRDefault="00906B89" w:rsidP="00D25A8D">
      <w:pPr>
        <w:jc w:val="both"/>
        <w:rPr>
          <w:rFonts w:ascii="Arial" w:hAnsi="Arial" w:cs="Arial"/>
          <w:sz w:val="24"/>
          <w:szCs w:val="24"/>
        </w:rPr>
      </w:pPr>
      <w:r w:rsidRPr="00D25A8D">
        <w:rPr>
          <w:rFonts w:ascii="Arial" w:hAnsi="Arial" w:cs="Arial"/>
          <w:sz w:val="24"/>
          <w:szCs w:val="24"/>
        </w:rPr>
        <w:t>Si bien los procesos ejecutivos han constituido en los últimos años la mayor demanda de justicia civil, es importante considerar el impacto que la crisis sanitaria ha tenido particularmente sobre la conflictividad entre particulares, derivada de la crisis económica, desempleo creciente, bajos niveles de actividad productiva y los correspondientes riesgos crecientes de incumplimiento de los particulares, empresarios y comerciantes de las obligaciones contractuales adquiridas previamente al contexto de la pandemia. Desde la declaratoria de emergencia sanitaria, es importante observar la dinámica judicial en asuntos y litigios contractuales y de incumplimiento de obligaciones, la crisis sanitaria por el COVID-19, significará un reto para la administración de justicia en la interpretación legal de la fuerza mayor o la imprevisibilidad como argumentos que busquen desde un plano de justicia social compensar los efectos económicos negativos sobre los ingresos, el empleo y la productividad en el país. El incumplimiento de créditos financieros e hipotecarios siempre han presionado la alta demanda de justicia en materia civil, y el incumplimiento de los contratos de arrendamiento de vivienda y fines comerciales también sufrió cambios en el año 2020. Una cuarta parte de los contratos de arrendamiento tuvo que someterse a acuerdos y en el 49% de los contratos del sector no residencial se dio un incumplimiento en la cancelación de cánones de renta, lo que sin duda contribuye a incrementar la demanda de justicia civil y a resaltar el papel protagónico de la administración de justicia en la resolución de conflictos contractuales de naturaleza civil que logra mediar entre los principios de solidaridad y reactivación económica.</w:t>
      </w:r>
      <w:r w:rsidRPr="009228E1">
        <w:rPr>
          <w:rStyle w:val="Refdenotaalpie"/>
          <w:rFonts w:ascii="Arial" w:hAnsi="Arial" w:cs="Arial"/>
          <w:sz w:val="24"/>
          <w:szCs w:val="24"/>
        </w:rPr>
        <w:footnoteReference w:id="1"/>
      </w:r>
    </w:p>
    <w:p w14:paraId="6F908B22" w14:textId="44561494" w:rsidR="00526487" w:rsidRDefault="00526487" w:rsidP="00526487">
      <w:pPr>
        <w:pStyle w:val="Prrafodelista"/>
        <w:numPr>
          <w:ilvl w:val="0"/>
          <w:numId w:val="45"/>
        </w:numPr>
        <w:jc w:val="both"/>
        <w:rPr>
          <w:rFonts w:ascii="Arial" w:hAnsi="Arial" w:cs="Arial"/>
          <w:sz w:val="24"/>
          <w:szCs w:val="24"/>
        </w:rPr>
      </w:pPr>
      <w:r>
        <w:rPr>
          <w:rFonts w:ascii="Arial" w:hAnsi="Arial" w:cs="Arial"/>
          <w:sz w:val="24"/>
          <w:szCs w:val="24"/>
        </w:rPr>
        <w:lastRenderedPageBreak/>
        <w:t>Para 2019 en Colombia se llevaron a cabo un total de 474.668 procesos en la especialidad civil:</w:t>
      </w:r>
    </w:p>
    <w:p w14:paraId="25E5C72C" w14:textId="1A3C8CF4" w:rsidR="00526487" w:rsidRPr="00526487" w:rsidRDefault="00526487" w:rsidP="00D25A8D">
      <w:pPr>
        <w:jc w:val="center"/>
        <w:rPr>
          <w:rFonts w:ascii="Arial" w:hAnsi="Arial" w:cs="Arial"/>
          <w:sz w:val="24"/>
          <w:szCs w:val="24"/>
        </w:rPr>
      </w:pPr>
      <w:r>
        <w:rPr>
          <w:noProof/>
          <w:lang w:val="es-CO" w:eastAsia="es-CO"/>
        </w:rPr>
        <w:drawing>
          <wp:inline distT="0" distB="0" distL="0" distR="0" wp14:anchorId="1FF835A0" wp14:editId="64E383AD">
            <wp:extent cx="4420099" cy="2395595"/>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47566" cy="2410481"/>
                    </a:xfrm>
                    <a:prstGeom prst="rect">
                      <a:avLst/>
                    </a:prstGeom>
                  </pic:spPr>
                </pic:pic>
              </a:graphicData>
            </a:graphic>
          </wp:inline>
        </w:drawing>
      </w:r>
    </w:p>
    <w:p w14:paraId="1AFBFED5" w14:textId="4D17BDF9" w:rsidR="00526487" w:rsidRPr="00D25A8D" w:rsidRDefault="00526487" w:rsidP="00526487">
      <w:pPr>
        <w:jc w:val="both"/>
        <w:rPr>
          <w:rFonts w:ascii="Arial" w:hAnsi="Arial" w:cs="Arial"/>
          <w:sz w:val="16"/>
          <w:szCs w:val="24"/>
        </w:rPr>
      </w:pPr>
      <w:r w:rsidRPr="00526487">
        <w:rPr>
          <w:rFonts w:ascii="Arial" w:hAnsi="Arial" w:cs="Arial"/>
          <w:sz w:val="16"/>
          <w:szCs w:val="24"/>
        </w:rPr>
        <w:t xml:space="preserve">Fuente: </w:t>
      </w:r>
      <w:hyperlink r:id="rId16" w:history="1">
        <w:r w:rsidRPr="00EA1A19">
          <w:rPr>
            <w:rStyle w:val="Hipervnculo"/>
            <w:rFonts w:ascii="Arial" w:hAnsi="Arial" w:cs="Arial"/>
            <w:sz w:val="16"/>
            <w:szCs w:val="24"/>
          </w:rPr>
          <w:t>https://app.powerbi.com/view?r=eyJrIjoiNTkzM2IxMzgtOTU0Ny00Mjc0LWE3ZTItMTJjMmNhMTg0OTFiIiwidCI6IjYyMmNiYTk4LTgwZjgtNDFmMy04ZGY1LThlYjk5OTAxNTk4YiIsImMiOjR9</w:t>
        </w:r>
      </w:hyperlink>
    </w:p>
    <w:p w14:paraId="1D1E45FB" w14:textId="58E9D106" w:rsidR="00526487" w:rsidRDefault="00526487" w:rsidP="00526487">
      <w:pPr>
        <w:jc w:val="both"/>
        <w:rPr>
          <w:rFonts w:ascii="Arial" w:hAnsi="Arial" w:cs="Arial"/>
          <w:sz w:val="24"/>
          <w:szCs w:val="24"/>
        </w:rPr>
      </w:pPr>
      <w:r w:rsidRPr="00526487">
        <w:rPr>
          <w:rFonts w:ascii="Arial" w:hAnsi="Arial" w:cs="Arial"/>
          <w:sz w:val="24"/>
          <w:szCs w:val="24"/>
        </w:rPr>
        <w:t xml:space="preserve">75.472 fueron procesos ejecutivos, hipotecarios o prendarios, es decir el 16% de todos los procesos llevados </w:t>
      </w:r>
      <w:r>
        <w:rPr>
          <w:rFonts w:ascii="Arial" w:hAnsi="Arial" w:cs="Arial"/>
          <w:sz w:val="24"/>
          <w:szCs w:val="24"/>
        </w:rPr>
        <w:t>a cabo en la especialidad civil:</w:t>
      </w:r>
    </w:p>
    <w:p w14:paraId="1D04B21E" w14:textId="6B68852C" w:rsidR="00526487" w:rsidRDefault="00526487" w:rsidP="00526487">
      <w:pPr>
        <w:jc w:val="center"/>
        <w:rPr>
          <w:rFonts w:ascii="Arial" w:hAnsi="Arial" w:cs="Arial"/>
          <w:sz w:val="24"/>
          <w:szCs w:val="24"/>
        </w:rPr>
      </w:pPr>
      <w:r>
        <w:rPr>
          <w:noProof/>
          <w:lang w:val="es-CO" w:eastAsia="es-CO"/>
        </w:rPr>
        <w:drawing>
          <wp:inline distT="0" distB="0" distL="0" distR="0" wp14:anchorId="23C9E7B1" wp14:editId="6FD84DD3">
            <wp:extent cx="3978910" cy="2192496"/>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28194" cy="2219653"/>
                    </a:xfrm>
                    <a:prstGeom prst="rect">
                      <a:avLst/>
                    </a:prstGeom>
                  </pic:spPr>
                </pic:pic>
              </a:graphicData>
            </a:graphic>
          </wp:inline>
        </w:drawing>
      </w:r>
    </w:p>
    <w:p w14:paraId="5328A955" w14:textId="7F6F1FA4" w:rsidR="00906B89" w:rsidRPr="00D25A8D" w:rsidRDefault="00526487" w:rsidP="00906B89">
      <w:pPr>
        <w:jc w:val="both"/>
        <w:rPr>
          <w:rFonts w:ascii="Arial" w:hAnsi="Arial" w:cs="Arial"/>
          <w:sz w:val="16"/>
          <w:szCs w:val="24"/>
        </w:rPr>
      </w:pPr>
      <w:r w:rsidRPr="00526487">
        <w:rPr>
          <w:rFonts w:ascii="Arial" w:hAnsi="Arial" w:cs="Arial"/>
          <w:sz w:val="16"/>
          <w:szCs w:val="24"/>
        </w:rPr>
        <w:t xml:space="preserve">Fuente: </w:t>
      </w:r>
      <w:hyperlink r:id="rId18" w:history="1">
        <w:r w:rsidRPr="00EA1A19">
          <w:rPr>
            <w:rStyle w:val="Hipervnculo"/>
            <w:rFonts w:ascii="Arial" w:hAnsi="Arial" w:cs="Arial"/>
            <w:sz w:val="16"/>
            <w:szCs w:val="24"/>
          </w:rPr>
          <w:t>https://app.powerbi.com/view?r=eyJrIjoiNTkzM2IxMzgtOTU0Ny00Mjc0LWE3ZTItMTJjMmNhMTg0OTFiIiwidCI6IjYyMmNiYTk4LTgwZjgtNDFmMy04ZGY1LThlYjk5OTAxNTk4YiIsImMiOjR9</w:t>
        </w:r>
      </w:hyperlink>
    </w:p>
    <w:p w14:paraId="1A967385" w14:textId="4760BA21" w:rsidR="00526487" w:rsidRDefault="00526487" w:rsidP="00526487">
      <w:pPr>
        <w:pStyle w:val="Prrafodelista"/>
        <w:numPr>
          <w:ilvl w:val="0"/>
          <w:numId w:val="45"/>
        </w:numPr>
        <w:jc w:val="both"/>
        <w:rPr>
          <w:rFonts w:ascii="Arial" w:hAnsi="Arial" w:cs="Arial"/>
          <w:sz w:val="24"/>
          <w:szCs w:val="24"/>
        </w:rPr>
      </w:pPr>
      <w:r w:rsidRPr="00526487">
        <w:rPr>
          <w:rFonts w:ascii="Arial" w:hAnsi="Arial" w:cs="Arial"/>
          <w:sz w:val="24"/>
          <w:szCs w:val="24"/>
        </w:rPr>
        <w:lastRenderedPageBreak/>
        <w:t xml:space="preserve">Para el </w:t>
      </w:r>
      <w:r>
        <w:rPr>
          <w:rFonts w:ascii="Arial" w:hAnsi="Arial" w:cs="Arial"/>
          <w:sz w:val="24"/>
          <w:szCs w:val="24"/>
        </w:rPr>
        <w:t>2020 en Colombia se llevaron a cabo un total de 459.593 procesos en la especialidad civil:</w:t>
      </w:r>
    </w:p>
    <w:p w14:paraId="64D152BC" w14:textId="0564DCD5" w:rsidR="00526487" w:rsidRDefault="00526487" w:rsidP="00526487">
      <w:pPr>
        <w:jc w:val="center"/>
        <w:rPr>
          <w:rFonts w:ascii="Arial" w:hAnsi="Arial" w:cs="Arial"/>
          <w:sz w:val="24"/>
          <w:szCs w:val="24"/>
        </w:rPr>
      </w:pPr>
      <w:r>
        <w:rPr>
          <w:noProof/>
          <w:lang w:val="es-CO" w:eastAsia="es-CO"/>
        </w:rPr>
        <w:drawing>
          <wp:inline distT="0" distB="0" distL="0" distR="0" wp14:anchorId="09788217" wp14:editId="08BD8FA2">
            <wp:extent cx="4238625" cy="23629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61280" cy="2375575"/>
                    </a:xfrm>
                    <a:prstGeom prst="rect">
                      <a:avLst/>
                    </a:prstGeom>
                  </pic:spPr>
                </pic:pic>
              </a:graphicData>
            </a:graphic>
          </wp:inline>
        </w:drawing>
      </w:r>
    </w:p>
    <w:p w14:paraId="0DA2890B" w14:textId="2F79CA63" w:rsidR="00526487" w:rsidRPr="00D25A8D" w:rsidRDefault="00526487" w:rsidP="00D25A8D">
      <w:pPr>
        <w:jc w:val="both"/>
        <w:rPr>
          <w:rFonts w:ascii="Arial" w:hAnsi="Arial" w:cs="Arial"/>
          <w:sz w:val="16"/>
          <w:szCs w:val="24"/>
        </w:rPr>
      </w:pPr>
      <w:r w:rsidRPr="00526487">
        <w:rPr>
          <w:rFonts w:ascii="Arial" w:hAnsi="Arial" w:cs="Arial"/>
          <w:sz w:val="16"/>
          <w:szCs w:val="24"/>
        </w:rPr>
        <w:t xml:space="preserve">Fuente: </w:t>
      </w:r>
      <w:hyperlink r:id="rId20" w:history="1">
        <w:r w:rsidRPr="00EA1A19">
          <w:rPr>
            <w:rStyle w:val="Hipervnculo"/>
            <w:rFonts w:ascii="Arial" w:hAnsi="Arial" w:cs="Arial"/>
            <w:sz w:val="16"/>
            <w:szCs w:val="24"/>
          </w:rPr>
          <w:t>https://app.powerbi.com/view?r=eyJrIjoiNTkzM2IxMzgtOTU0Ny00Mjc0LWE3ZTItMTJjMmNhMTg0OTFiIiwidCI6IjYyMmNiYTk4LTgwZjgtNDFmMy04ZGY1LThlYjk5OTAxNTk4YiIsImMiOjR9</w:t>
        </w:r>
      </w:hyperlink>
    </w:p>
    <w:p w14:paraId="30C4A674" w14:textId="0B322B71" w:rsidR="00526487" w:rsidRDefault="00526487" w:rsidP="00526487">
      <w:pPr>
        <w:pStyle w:val="Prrafodelista"/>
        <w:ind w:left="360"/>
        <w:jc w:val="both"/>
        <w:rPr>
          <w:rFonts w:ascii="Arial" w:hAnsi="Arial" w:cs="Arial"/>
          <w:sz w:val="24"/>
          <w:szCs w:val="24"/>
        </w:rPr>
      </w:pPr>
      <w:r>
        <w:rPr>
          <w:rFonts w:ascii="Arial" w:hAnsi="Arial" w:cs="Arial"/>
          <w:sz w:val="24"/>
          <w:szCs w:val="24"/>
        </w:rPr>
        <w:t>Es decir, para 2020 se tuvieron menos procesos de la especialidad civil que los llevados a cabo en 2019, pero de los cuales 306.091 fueron procesos ejecutivos, hipotecarios o prendarios, es decir el 67% de todos los procesos llevados a cabo en la especialidad civil:</w:t>
      </w:r>
    </w:p>
    <w:p w14:paraId="1EB94CFE" w14:textId="45CB75EE" w:rsidR="00D25A8D" w:rsidRDefault="00D25A8D" w:rsidP="00526487">
      <w:pPr>
        <w:pStyle w:val="Prrafodelista"/>
        <w:ind w:left="360"/>
        <w:jc w:val="both"/>
        <w:rPr>
          <w:rFonts w:ascii="Arial" w:hAnsi="Arial" w:cs="Arial"/>
          <w:sz w:val="24"/>
          <w:szCs w:val="24"/>
        </w:rPr>
      </w:pPr>
    </w:p>
    <w:p w14:paraId="2977F425" w14:textId="2D43228E" w:rsidR="00D25A8D" w:rsidRDefault="00D25A8D" w:rsidP="00D25A8D">
      <w:pPr>
        <w:pStyle w:val="Prrafodelista"/>
        <w:ind w:left="360"/>
        <w:jc w:val="center"/>
        <w:rPr>
          <w:rFonts w:ascii="Arial" w:hAnsi="Arial" w:cs="Arial"/>
          <w:sz w:val="24"/>
          <w:szCs w:val="24"/>
        </w:rPr>
      </w:pPr>
      <w:r>
        <w:rPr>
          <w:noProof/>
          <w:lang w:eastAsia="es-CO"/>
        </w:rPr>
        <w:lastRenderedPageBreak/>
        <w:drawing>
          <wp:inline distT="0" distB="0" distL="0" distR="0" wp14:anchorId="03916925" wp14:editId="3E037012">
            <wp:extent cx="4303780" cy="238125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65276" cy="2415275"/>
                    </a:xfrm>
                    <a:prstGeom prst="rect">
                      <a:avLst/>
                    </a:prstGeom>
                  </pic:spPr>
                </pic:pic>
              </a:graphicData>
            </a:graphic>
          </wp:inline>
        </w:drawing>
      </w:r>
    </w:p>
    <w:p w14:paraId="3125F6A1" w14:textId="77777777" w:rsidR="00D25A8D" w:rsidRDefault="00D25A8D" w:rsidP="00D25A8D">
      <w:pPr>
        <w:jc w:val="both"/>
        <w:rPr>
          <w:rFonts w:ascii="Arial" w:hAnsi="Arial" w:cs="Arial"/>
          <w:sz w:val="16"/>
          <w:szCs w:val="24"/>
        </w:rPr>
      </w:pPr>
      <w:r w:rsidRPr="00526487">
        <w:rPr>
          <w:rFonts w:ascii="Arial" w:hAnsi="Arial" w:cs="Arial"/>
          <w:sz w:val="16"/>
          <w:szCs w:val="24"/>
        </w:rPr>
        <w:t xml:space="preserve">Fuente: </w:t>
      </w:r>
      <w:hyperlink r:id="rId22" w:history="1">
        <w:r w:rsidRPr="00EA1A19">
          <w:rPr>
            <w:rStyle w:val="Hipervnculo"/>
            <w:rFonts w:ascii="Arial" w:hAnsi="Arial" w:cs="Arial"/>
            <w:sz w:val="16"/>
            <w:szCs w:val="24"/>
          </w:rPr>
          <w:t>https://app.powerbi.com/view?r=eyJrIjoiNTkzM2IxMzgtOTU0Ny00Mjc0LWE3ZTItMTJjMmNhMTg0OTFiIiwidCI6IjYyMmNiYTk4LTgwZjgtNDFmMy04ZGY1LThlYjk5OTAxNTk4YiIsImMiOjR9</w:t>
        </w:r>
      </w:hyperlink>
    </w:p>
    <w:p w14:paraId="539CE49E" w14:textId="4B04981D" w:rsidR="00526487" w:rsidRPr="00D25A8D" w:rsidRDefault="00526487" w:rsidP="00526487">
      <w:pPr>
        <w:jc w:val="both"/>
        <w:rPr>
          <w:rFonts w:ascii="Arial" w:hAnsi="Arial" w:cs="Arial"/>
          <w:b/>
          <w:sz w:val="24"/>
          <w:szCs w:val="24"/>
        </w:rPr>
      </w:pPr>
      <w:r w:rsidRPr="00D25A8D">
        <w:rPr>
          <w:rFonts w:ascii="Arial" w:hAnsi="Arial" w:cs="Arial"/>
          <w:b/>
          <w:sz w:val="24"/>
          <w:szCs w:val="24"/>
        </w:rPr>
        <w:t xml:space="preserve">Así las cosas, de 2019 a 2020 </w:t>
      </w:r>
      <w:r w:rsidR="00355843">
        <w:rPr>
          <w:rFonts w:ascii="Arial" w:hAnsi="Arial" w:cs="Arial"/>
          <w:b/>
          <w:sz w:val="24"/>
          <w:szCs w:val="24"/>
        </w:rPr>
        <w:t xml:space="preserve">en Colombia </w:t>
      </w:r>
      <w:r w:rsidRPr="00D25A8D">
        <w:rPr>
          <w:rFonts w:ascii="Arial" w:hAnsi="Arial" w:cs="Arial"/>
          <w:b/>
          <w:sz w:val="24"/>
          <w:szCs w:val="24"/>
        </w:rPr>
        <w:t xml:space="preserve">aumentaron en un </w:t>
      </w:r>
      <w:r w:rsidRPr="00D25A8D">
        <w:rPr>
          <w:rFonts w:ascii="Arial" w:hAnsi="Arial" w:cs="Arial"/>
          <w:b/>
          <w:sz w:val="32"/>
          <w:szCs w:val="24"/>
        </w:rPr>
        <w:t>51%</w:t>
      </w:r>
      <w:r w:rsidRPr="00D25A8D">
        <w:rPr>
          <w:rFonts w:ascii="Arial" w:hAnsi="Arial" w:cs="Arial"/>
          <w:b/>
          <w:sz w:val="24"/>
          <w:szCs w:val="24"/>
        </w:rPr>
        <w:t xml:space="preserve"> los procesos ejecutivos, hipotecarios o prendarios.</w:t>
      </w:r>
    </w:p>
    <w:p w14:paraId="45610740" w14:textId="77777777" w:rsidR="00526487" w:rsidRPr="00526487" w:rsidRDefault="00526487" w:rsidP="00526487">
      <w:pPr>
        <w:jc w:val="both"/>
        <w:rPr>
          <w:rFonts w:ascii="Arial" w:hAnsi="Arial" w:cs="Arial"/>
          <w:sz w:val="16"/>
          <w:szCs w:val="24"/>
        </w:rPr>
      </w:pPr>
    </w:p>
    <w:p w14:paraId="063F3ACB" w14:textId="77777777" w:rsidR="00906B89" w:rsidRPr="00D25A8D" w:rsidRDefault="00906B89" w:rsidP="00906B89">
      <w:pPr>
        <w:pStyle w:val="Prrafodelista"/>
        <w:numPr>
          <w:ilvl w:val="0"/>
          <w:numId w:val="44"/>
        </w:numPr>
        <w:jc w:val="both"/>
        <w:rPr>
          <w:rFonts w:ascii="Arial" w:hAnsi="Arial" w:cs="Arial"/>
          <w:b/>
          <w:sz w:val="24"/>
          <w:szCs w:val="24"/>
        </w:rPr>
      </w:pPr>
      <w:r w:rsidRPr="00D25A8D">
        <w:rPr>
          <w:rFonts w:ascii="Arial" w:hAnsi="Arial" w:cs="Arial"/>
          <w:b/>
          <w:sz w:val="24"/>
          <w:szCs w:val="24"/>
        </w:rPr>
        <w:t>DATOS DE LA ENCUESTA PULSO SOCIAL DEL DANE FEBRERO DE 2022</w:t>
      </w:r>
      <w:r w:rsidRPr="00D25A8D">
        <w:rPr>
          <w:rStyle w:val="Refdenotaalpie"/>
          <w:rFonts w:ascii="Arial" w:hAnsi="Arial" w:cs="Arial"/>
          <w:b/>
          <w:sz w:val="24"/>
          <w:szCs w:val="24"/>
        </w:rPr>
        <w:footnoteReference w:id="2"/>
      </w:r>
    </w:p>
    <w:p w14:paraId="42BF303F" w14:textId="77777777" w:rsidR="00906B89" w:rsidRPr="009228E1" w:rsidRDefault="00906B89" w:rsidP="00906B89">
      <w:pPr>
        <w:pStyle w:val="Prrafodelista"/>
        <w:jc w:val="both"/>
        <w:rPr>
          <w:rFonts w:ascii="Arial" w:hAnsi="Arial" w:cs="Arial"/>
          <w:b/>
          <w:color w:val="FF0000"/>
          <w:sz w:val="24"/>
          <w:szCs w:val="24"/>
        </w:rPr>
      </w:pPr>
    </w:p>
    <w:p w14:paraId="3BAACB10" w14:textId="18DBA3C6" w:rsidR="00906B89" w:rsidRDefault="00906B89" w:rsidP="00906B89">
      <w:pPr>
        <w:pStyle w:val="Prrafodelista"/>
        <w:numPr>
          <w:ilvl w:val="0"/>
          <w:numId w:val="43"/>
        </w:numPr>
        <w:jc w:val="both"/>
        <w:rPr>
          <w:rFonts w:ascii="Arial" w:hAnsi="Arial" w:cs="Arial"/>
          <w:color w:val="141414"/>
          <w:sz w:val="24"/>
          <w:szCs w:val="24"/>
        </w:rPr>
      </w:pPr>
      <w:r w:rsidRPr="009228E1">
        <w:rPr>
          <w:rFonts w:ascii="Arial" w:hAnsi="Arial" w:cs="Arial"/>
          <w:color w:val="141414"/>
          <w:sz w:val="24"/>
          <w:szCs w:val="24"/>
        </w:rPr>
        <w:t>El 49,4 % de los hogares en el país afirmó que su situación económica es peor o mucho que la de hace un año</w:t>
      </w:r>
    </w:p>
    <w:p w14:paraId="3D26956F" w14:textId="77777777" w:rsidR="00906B89" w:rsidRPr="009228E1" w:rsidRDefault="00906B89" w:rsidP="00906B89">
      <w:pPr>
        <w:pStyle w:val="Prrafodelista"/>
        <w:jc w:val="both"/>
        <w:rPr>
          <w:rFonts w:ascii="Arial" w:hAnsi="Arial" w:cs="Arial"/>
          <w:color w:val="141414"/>
          <w:sz w:val="24"/>
          <w:szCs w:val="24"/>
        </w:rPr>
      </w:pPr>
    </w:p>
    <w:p w14:paraId="223CE70D" w14:textId="77777777" w:rsidR="00906B89" w:rsidRPr="009228E1" w:rsidRDefault="00906B89" w:rsidP="00906B89">
      <w:pPr>
        <w:pStyle w:val="Prrafodelista"/>
        <w:numPr>
          <w:ilvl w:val="0"/>
          <w:numId w:val="43"/>
        </w:numPr>
        <w:jc w:val="both"/>
        <w:rPr>
          <w:rFonts w:ascii="Arial" w:hAnsi="Arial" w:cs="Arial"/>
          <w:color w:val="141414"/>
          <w:sz w:val="24"/>
          <w:szCs w:val="24"/>
        </w:rPr>
      </w:pPr>
      <w:r w:rsidRPr="009228E1">
        <w:rPr>
          <w:rFonts w:ascii="Arial" w:hAnsi="Arial" w:cs="Arial"/>
          <w:color w:val="141414"/>
          <w:sz w:val="24"/>
          <w:szCs w:val="24"/>
        </w:rPr>
        <w:t>En febrero de 2022 el</w:t>
      </w:r>
      <w:r w:rsidRPr="009228E1">
        <w:rPr>
          <w:rFonts w:ascii="Arial" w:hAnsi="Arial" w:cs="Arial"/>
          <w:bCs/>
          <w:color w:val="141414"/>
          <w:sz w:val="24"/>
          <w:szCs w:val="24"/>
        </w:rPr>
        <w:t> Indicador de Confianza del Consumidor (ICC)</w:t>
      </w:r>
      <w:r w:rsidRPr="009228E1">
        <w:rPr>
          <w:rFonts w:ascii="Arial" w:hAnsi="Arial" w:cs="Arial"/>
          <w:color w:val="141414"/>
          <w:sz w:val="24"/>
          <w:szCs w:val="24"/>
        </w:rPr>
        <w:t>, fue de 34,9 puntos (sobre 100)</w:t>
      </w:r>
    </w:p>
    <w:p w14:paraId="1578A715" w14:textId="77777777" w:rsidR="00906B89" w:rsidRPr="009228E1" w:rsidRDefault="00906B89" w:rsidP="00906B89">
      <w:pPr>
        <w:pStyle w:val="Prrafodelista"/>
        <w:numPr>
          <w:ilvl w:val="0"/>
          <w:numId w:val="43"/>
        </w:numPr>
        <w:jc w:val="both"/>
        <w:rPr>
          <w:rFonts w:ascii="Arial" w:hAnsi="Arial" w:cs="Arial"/>
          <w:sz w:val="24"/>
          <w:szCs w:val="24"/>
        </w:rPr>
      </w:pPr>
      <w:r w:rsidRPr="009228E1">
        <w:rPr>
          <w:rFonts w:ascii="Arial" w:hAnsi="Arial" w:cs="Arial"/>
          <w:sz w:val="24"/>
          <w:szCs w:val="24"/>
        </w:rPr>
        <w:t>En febrero de 2022, en el total de las 23 ciudades y áreas metropolitanas, el porcentaje de personas que no realizan tareas laborales o no tienen empleo fue de 36,1%; para las mujeres fue 46,2% y para los hombres, 23,1%.</w:t>
      </w:r>
    </w:p>
    <w:p w14:paraId="50AE7D6F" w14:textId="77777777" w:rsidR="00906B89" w:rsidRPr="009228E1" w:rsidRDefault="00906B89" w:rsidP="00906B89">
      <w:pPr>
        <w:pStyle w:val="Prrafodelista"/>
        <w:rPr>
          <w:rFonts w:ascii="Arial" w:hAnsi="Arial" w:cs="Arial"/>
          <w:sz w:val="24"/>
          <w:szCs w:val="24"/>
        </w:rPr>
      </w:pPr>
    </w:p>
    <w:p w14:paraId="510EFCFD" w14:textId="77777777" w:rsidR="00906B89" w:rsidRPr="00F313AA" w:rsidRDefault="00906B89" w:rsidP="00906B89">
      <w:pPr>
        <w:pStyle w:val="Prrafodelista"/>
        <w:numPr>
          <w:ilvl w:val="0"/>
          <w:numId w:val="43"/>
        </w:numPr>
        <w:shd w:val="clear" w:color="auto" w:fill="FFFFFF" w:themeFill="background1"/>
        <w:jc w:val="both"/>
        <w:rPr>
          <w:rFonts w:ascii="Arial" w:hAnsi="Arial" w:cs="Arial"/>
          <w:sz w:val="24"/>
          <w:szCs w:val="24"/>
        </w:rPr>
      </w:pPr>
      <w:r w:rsidRPr="00F313AA">
        <w:rPr>
          <w:rFonts w:ascii="Arial" w:hAnsi="Arial" w:cs="Arial"/>
          <w:sz w:val="24"/>
          <w:szCs w:val="24"/>
          <w:shd w:val="clear" w:color="auto" w:fill="F7F7F7"/>
        </w:rPr>
        <w:lastRenderedPageBreak/>
        <w:t>Para el mes de enero de 2022, la tasa de desempleo fue 14,6%, la tasa global de participación 62,6% y la tasa de ocupación 53,4%. En el mismo mes del año anterior estas tasas fueron 17,5%, 60,7% y 50,1%, respectivamente.</w:t>
      </w:r>
      <w:r w:rsidRPr="00F313AA">
        <w:rPr>
          <w:rStyle w:val="Refdenotaalpie"/>
          <w:rFonts w:ascii="Arial" w:hAnsi="Arial" w:cs="Arial"/>
          <w:sz w:val="24"/>
          <w:szCs w:val="24"/>
          <w:shd w:val="clear" w:color="auto" w:fill="F7F7F7"/>
        </w:rPr>
        <w:footnoteReference w:id="3"/>
      </w:r>
      <w:r w:rsidRPr="00F313AA">
        <w:rPr>
          <w:rFonts w:ascii="Arial" w:hAnsi="Arial" w:cs="Arial"/>
          <w:sz w:val="24"/>
          <w:szCs w:val="24"/>
          <w:shd w:val="clear" w:color="auto" w:fill="F7F7F7"/>
        </w:rPr>
        <w:t xml:space="preserve"> </w:t>
      </w:r>
    </w:p>
    <w:p w14:paraId="470C64CE" w14:textId="77777777" w:rsidR="00906B89" w:rsidRPr="009228E1" w:rsidRDefault="00906B89" w:rsidP="00906B89">
      <w:pPr>
        <w:pStyle w:val="Prrafodelista"/>
        <w:rPr>
          <w:rFonts w:ascii="Arial" w:hAnsi="Arial" w:cs="Arial"/>
          <w:sz w:val="24"/>
          <w:szCs w:val="24"/>
        </w:rPr>
      </w:pPr>
    </w:p>
    <w:p w14:paraId="37BBCCE1" w14:textId="1B9B49D6" w:rsidR="009A64C1" w:rsidRPr="00ED3820" w:rsidRDefault="00906B89" w:rsidP="00ED3820">
      <w:pPr>
        <w:pStyle w:val="Prrafodelista"/>
        <w:numPr>
          <w:ilvl w:val="0"/>
          <w:numId w:val="43"/>
        </w:numPr>
        <w:shd w:val="clear" w:color="auto" w:fill="FFFFFF"/>
        <w:spacing w:after="120" w:line="240" w:lineRule="auto"/>
        <w:jc w:val="both"/>
        <w:rPr>
          <w:rFonts w:ascii="Arial" w:eastAsia="Times New Roman" w:hAnsi="Arial" w:cs="Arial"/>
          <w:color w:val="333333"/>
          <w:sz w:val="24"/>
          <w:szCs w:val="24"/>
          <w:lang w:eastAsia="es-CO"/>
        </w:rPr>
      </w:pPr>
      <w:r w:rsidRPr="009228E1">
        <w:rPr>
          <w:rFonts w:ascii="Arial" w:eastAsia="Times New Roman" w:hAnsi="Arial" w:cs="Arial"/>
          <w:color w:val="333333"/>
          <w:sz w:val="24"/>
          <w:szCs w:val="24"/>
          <w:lang w:eastAsia="es-CO"/>
        </w:rPr>
        <w:t xml:space="preserve">viernes 25 de marzo de 2022 - 12:00 AM </w:t>
      </w:r>
      <w:r w:rsidRPr="009228E1">
        <w:rPr>
          <w:rFonts w:ascii="Arial" w:eastAsia="Times New Roman" w:hAnsi="Arial" w:cs="Arial"/>
          <w:color w:val="000000"/>
          <w:kern w:val="36"/>
          <w:sz w:val="24"/>
          <w:szCs w:val="24"/>
          <w:lang w:eastAsia="es-CO"/>
        </w:rPr>
        <w:t>La inflación incrementará la pobreza monetaria en el 2022 en Colombia</w:t>
      </w:r>
      <w:r w:rsidRPr="009228E1">
        <w:rPr>
          <w:rStyle w:val="Refdenotaalpie"/>
          <w:rFonts w:ascii="Arial" w:eastAsia="Times New Roman" w:hAnsi="Arial" w:cs="Arial"/>
          <w:color w:val="000000"/>
          <w:kern w:val="36"/>
          <w:sz w:val="24"/>
          <w:szCs w:val="24"/>
          <w:lang w:eastAsia="es-CO"/>
        </w:rPr>
        <w:footnoteReference w:id="4"/>
      </w:r>
    </w:p>
    <w:p w14:paraId="2F6C5442" w14:textId="278AAF2F" w:rsidR="00ED3820" w:rsidRPr="00ED3820" w:rsidRDefault="00ED3820" w:rsidP="00ED3820">
      <w:pPr>
        <w:shd w:val="clear" w:color="auto" w:fill="FFFFFF"/>
        <w:spacing w:after="120" w:line="240" w:lineRule="auto"/>
        <w:jc w:val="both"/>
        <w:rPr>
          <w:rFonts w:ascii="Arial" w:eastAsia="Times New Roman" w:hAnsi="Arial" w:cs="Arial"/>
          <w:color w:val="333333"/>
          <w:sz w:val="24"/>
          <w:szCs w:val="24"/>
          <w:lang w:eastAsia="es-CO"/>
        </w:rPr>
      </w:pPr>
    </w:p>
    <w:p w14:paraId="31BCD354" w14:textId="2F9AF978" w:rsidR="00906B89" w:rsidRDefault="00906B89" w:rsidP="00906B89">
      <w:pPr>
        <w:pStyle w:val="Prrafodelista"/>
        <w:shd w:val="clear" w:color="auto" w:fill="FFFFFF"/>
        <w:spacing w:after="120" w:line="240" w:lineRule="auto"/>
        <w:jc w:val="both"/>
        <w:rPr>
          <w:rFonts w:ascii="Arial" w:hAnsi="Arial" w:cs="Arial"/>
          <w:b/>
          <w:bCs/>
          <w:color w:val="000000"/>
          <w:sz w:val="24"/>
          <w:szCs w:val="24"/>
        </w:rPr>
      </w:pPr>
      <w:r w:rsidRPr="009228E1">
        <w:rPr>
          <w:rFonts w:ascii="Arial" w:hAnsi="Arial" w:cs="Arial"/>
          <w:b/>
          <w:bCs/>
          <w:color w:val="000000"/>
          <w:sz w:val="24"/>
          <w:szCs w:val="24"/>
        </w:rPr>
        <w:t>¿La inflación impactará el incremento de la pobreza monetaria en Colombia?</w:t>
      </w:r>
    </w:p>
    <w:p w14:paraId="67612EDB" w14:textId="77777777" w:rsidR="009A64C1" w:rsidRPr="009228E1" w:rsidRDefault="009A64C1" w:rsidP="00906B89">
      <w:pPr>
        <w:pStyle w:val="Prrafodelista"/>
        <w:shd w:val="clear" w:color="auto" w:fill="FFFFFF"/>
        <w:spacing w:after="120" w:line="240" w:lineRule="auto"/>
        <w:jc w:val="both"/>
        <w:rPr>
          <w:rFonts w:ascii="Arial" w:eastAsia="Times New Roman" w:hAnsi="Arial" w:cs="Arial"/>
          <w:color w:val="333333"/>
          <w:sz w:val="24"/>
          <w:szCs w:val="24"/>
          <w:lang w:eastAsia="es-CO"/>
        </w:rPr>
      </w:pPr>
    </w:p>
    <w:p w14:paraId="34041123" w14:textId="77777777" w:rsidR="00906B89" w:rsidRPr="009228E1" w:rsidRDefault="00906B89" w:rsidP="00906B89">
      <w:pPr>
        <w:pStyle w:val="NormalWeb"/>
        <w:shd w:val="clear" w:color="auto" w:fill="FFFFFF"/>
        <w:spacing w:after="150"/>
        <w:ind w:left="708"/>
        <w:jc w:val="both"/>
        <w:rPr>
          <w:rFonts w:ascii="Arial" w:hAnsi="Arial" w:cs="Arial"/>
          <w:color w:val="000000"/>
        </w:rPr>
      </w:pPr>
      <w:r w:rsidRPr="009228E1">
        <w:rPr>
          <w:rFonts w:ascii="Arial" w:hAnsi="Arial" w:cs="Arial"/>
          <w:color w:val="000000"/>
        </w:rPr>
        <w:t>Este es el indicador que más afectará el fenómeno de la inflación; el crecimiento la pobreza monetaria y la pobreza monetaria extrema, ya que tendrán que pagar a precios más caros los bienes que antes. La pobreza monetaria se entiende es el costo per cápita mínimo necesario para adquirir una canasta básica de alimentos, que tenga los requerimientos calóricos. Recordemos que el reporte de 2021 evidenció un incremento de 6,8% al 2020, con un total de 21.021.564 millones de personas en pobreza monetaria, más de 3,6 millones que 2019, datos presentados con indicadores de inflación no tan altas. Lo cual implica que es muy probable que aumente para el 2021.</w:t>
      </w:r>
    </w:p>
    <w:p w14:paraId="6404AA29" w14:textId="3B6FC1A4" w:rsidR="00FE781C" w:rsidRPr="00106F94" w:rsidRDefault="00FE781C" w:rsidP="00FE781C">
      <w:pPr>
        <w:spacing w:after="0" w:line="254" w:lineRule="atLeast"/>
        <w:jc w:val="both"/>
        <w:rPr>
          <w:rFonts w:ascii="Arial" w:hAnsi="Arial" w:cs="Arial"/>
          <w:sz w:val="24"/>
          <w:szCs w:val="24"/>
        </w:rPr>
      </w:pPr>
    </w:p>
    <w:p w14:paraId="2DD3BE61" w14:textId="47F529DA" w:rsidR="00FE781C" w:rsidRPr="00106F94" w:rsidRDefault="0058014B" w:rsidP="00FE781C">
      <w:pPr>
        <w:pStyle w:val="Prrafodelista"/>
        <w:numPr>
          <w:ilvl w:val="0"/>
          <w:numId w:val="36"/>
        </w:numPr>
        <w:spacing w:after="160" w:line="259" w:lineRule="auto"/>
        <w:jc w:val="both"/>
        <w:rPr>
          <w:rFonts w:ascii="Arial" w:hAnsi="Arial" w:cs="Arial"/>
          <w:b/>
          <w:bCs/>
          <w:sz w:val="24"/>
          <w:szCs w:val="24"/>
        </w:rPr>
      </w:pPr>
      <w:r w:rsidRPr="00106F94">
        <w:rPr>
          <w:rFonts w:ascii="Arial" w:hAnsi="Arial" w:cs="Arial"/>
          <w:b/>
          <w:bCs/>
          <w:sz w:val="24"/>
          <w:szCs w:val="24"/>
        </w:rPr>
        <w:t xml:space="preserve">Cifras De Créditos </w:t>
      </w:r>
    </w:p>
    <w:p w14:paraId="2F3B669B" w14:textId="77777777" w:rsidR="00FE781C" w:rsidRPr="00106F94" w:rsidRDefault="00FE781C" w:rsidP="00FE781C">
      <w:pPr>
        <w:pStyle w:val="Prrafodelista"/>
        <w:ind w:left="360"/>
        <w:jc w:val="both"/>
        <w:rPr>
          <w:rFonts w:ascii="Arial" w:hAnsi="Arial" w:cs="Arial"/>
          <w:sz w:val="24"/>
          <w:szCs w:val="24"/>
        </w:rPr>
      </w:pPr>
    </w:p>
    <w:p w14:paraId="14DC1A35" w14:textId="77777777" w:rsidR="00FE781C" w:rsidRPr="00106F94" w:rsidRDefault="00FE781C" w:rsidP="00FE781C">
      <w:pPr>
        <w:pStyle w:val="Prrafodelista"/>
        <w:ind w:left="360"/>
        <w:jc w:val="both"/>
        <w:rPr>
          <w:rFonts w:ascii="Arial" w:hAnsi="Arial" w:cs="Arial"/>
          <w:sz w:val="24"/>
          <w:szCs w:val="24"/>
        </w:rPr>
      </w:pPr>
    </w:p>
    <w:p w14:paraId="5AE62B2F" w14:textId="1D0BFC50" w:rsidR="00FE781C" w:rsidRPr="009A64C1" w:rsidRDefault="00FE781C" w:rsidP="00FE781C">
      <w:pPr>
        <w:pStyle w:val="Prrafodelista"/>
        <w:numPr>
          <w:ilvl w:val="0"/>
          <w:numId w:val="41"/>
        </w:numPr>
        <w:shd w:val="clear" w:color="auto" w:fill="FFFFFF"/>
        <w:spacing w:after="0" w:line="235" w:lineRule="atLeas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SUPERINTENDENCIA FINANCIERA. INFORME DE SEGUIMIENTO DE MEDIDAS EN LA COYUNTURA</w:t>
      </w:r>
      <w:r w:rsidRPr="00106F94">
        <w:rPr>
          <w:rFonts w:ascii="Arial" w:eastAsia="Times New Roman" w:hAnsi="Arial" w:cs="Arial"/>
          <w:color w:val="000000"/>
          <w:sz w:val="24"/>
          <w:szCs w:val="24"/>
          <w:bdr w:val="none" w:sz="0" w:space="0" w:color="auto" w:frame="1"/>
        </w:rPr>
        <w:t> </w:t>
      </w:r>
    </w:p>
    <w:p w14:paraId="6FDB5317" w14:textId="77777777" w:rsidR="009A64C1" w:rsidRPr="00106F94" w:rsidRDefault="009A64C1" w:rsidP="009A64C1">
      <w:pPr>
        <w:pStyle w:val="Prrafodelista"/>
        <w:shd w:val="clear" w:color="auto" w:fill="FFFFFF"/>
        <w:spacing w:after="0" w:line="235" w:lineRule="atLeast"/>
        <w:rPr>
          <w:rFonts w:ascii="Arial" w:eastAsia="Times New Roman" w:hAnsi="Arial" w:cs="Arial"/>
          <w:color w:val="000000"/>
          <w:sz w:val="24"/>
          <w:szCs w:val="24"/>
        </w:rPr>
      </w:pPr>
    </w:p>
    <w:p w14:paraId="51BCB566" w14:textId="6206B7C0" w:rsidR="009A64C1" w:rsidRPr="00ED3820" w:rsidRDefault="00FE781C" w:rsidP="00ED3820">
      <w:pPr>
        <w:shd w:val="clear" w:color="auto" w:fill="FFFFFF"/>
        <w:spacing w:after="0" w:line="235" w:lineRule="atLeast"/>
        <w:ind w:left="720"/>
        <w:jc w:val="both"/>
        <w:rPr>
          <w:rFonts w:ascii="Arial" w:eastAsia="Times New Roman" w:hAnsi="Arial" w:cs="Arial"/>
          <w:b/>
          <w:bCs/>
          <w:sz w:val="24"/>
          <w:szCs w:val="24"/>
          <w:bdr w:val="none" w:sz="0" w:space="0" w:color="auto" w:frame="1"/>
        </w:rPr>
      </w:pPr>
      <w:r w:rsidRPr="00106F94">
        <w:rPr>
          <w:rFonts w:ascii="Arial" w:eastAsia="Times New Roman" w:hAnsi="Arial" w:cs="Arial"/>
          <w:color w:val="000000"/>
          <w:sz w:val="24"/>
          <w:szCs w:val="24"/>
          <w:bdr w:val="none" w:sz="0" w:space="0" w:color="auto" w:frame="1"/>
        </w:rPr>
        <w:br/>
      </w:r>
      <w:r w:rsidR="00AD2DE5" w:rsidRPr="00166658">
        <w:rPr>
          <w:rFonts w:ascii="Arial" w:hAnsi="Arial" w:cs="Arial"/>
          <w:sz w:val="24"/>
          <w:szCs w:val="24"/>
          <w:shd w:val="clear" w:color="auto" w:fill="FFFFFF"/>
        </w:rPr>
        <w:t xml:space="preserve">En lo corrido del período COVID, es decir, del 20 de marzo de 2020 hasta el </w:t>
      </w:r>
      <w:r w:rsidR="00AD2DE5" w:rsidRPr="00166658">
        <w:rPr>
          <w:rFonts w:ascii="Arial" w:hAnsi="Arial" w:cs="Arial"/>
          <w:sz w:val="24"/>
          <w:szCs w:val="24"/>
          <w:shd w:val="clear" w:color="auto" w:fill="FFFFFF"/>
        </w:rPr>
        <w:lastRenderedPageBreak/>
        <w:t>21 de enero de 2022, las empresas y los hogares han financiado sus actividades económicas y personales a través de </w:t>
      </w:r>
      <w:r w:rsidR="00AD2DE5" w:rsidRPr="00166658">
        <w:rPr>
          <w:rFonts w:ascii="Arial" w:hAnsi="Arial" w:cs="Arial"/>
          <w:b/>
          <w:bCs/>
          <w:sz w:val="24"/>
          <w:szCs w:val="24"/>
          <w:shd w:val="clear" w:color="auto" w:fill="FFFFFF"/>
        </w:rPr>
        <w:t>596,330,309 operaciones</w:t>
      </w:r>
      <w:r w:rsidR="00AD2DE5" w:rsidRPr="00166658">
        <w:rPr>
          <w:rFonts w:ascii="Arial" w:hAnsi="Arial" w:cs="Arial"/>
          <w:sz w:val="24"/>
          <w:szCs w:val="24"/>
          <w:shd w:val="clear" w:color="auto" w:fill="FFFFFF"/>
        </w:rPr>
        <w:t> de créditos desembolsados, por un valor total de </w:t>
      </w:r>
      <w:r w:rsidR="00AD2DE5" w:rsidRPr="00166658">
        <w:rPr>
          <w:rFonts w:ascii="Arial" w:hAnsi="Arial" w:cs="Arial"/>
          <w:b/>
          <w:bCs/>
          <w:sz w:val="24"/>
          <w:szCs w:val="24"/>
          <w:shd w:val="clear" w:color="auto" w:fill="FFFFFF"/>
        </w:rPr>
        <w:t>$734.49 billones</w:t>
      </w:r>
      <w:r w:rsidR="00AD2DE5" w:rsidRPr="00166658">
        <w:rPr>
          <w:rFonts w:ascii="Arial" w:hAnsi="Arial" w:cs="Arial"/>
          <w:sz w:val="24"/>
          <w:szCs w:val="24"/>
          <w:shd w:val="clear" w:color="auto" w:fill="FFFFFF"/>
        </w:rPr>
        <w:t>. En particular, entre el 25 de diciembre de 2021 y el 21 de enero de 2022 se desembolsaron </w:t>
      </w:r>
      <w:r w:rsidR="00AD2DE5" w:rsidRPr="00166658">
        <w:rPr>
          <w:rFonts w:ascii="Arial" w:hAnsi="Arial" w:cs="Arial"/>
          <w:b/>
          <w:bCs/>
          <w:sz w:val="24"/>
          <w:szCs w:val="24"/>
          <w:shd w:val="clear" w:color="auto" w:fill="FFFFFF"/>
        </w:rPr>
        <w:t>28,472,781 </w:t>
      </w:r>
      <w:r w:rsidR="00AD2DE5" w:rsidRPr="00166658">
        <w:rPr>
          <w:rFonts w:ascii="Arial" w:hAnsi="Arial" w:cs="Arial"/>
          <w:sz w:val="24"/>
          <w:szCs w:val="24"/>
          <w:shd w:val="clear" w:color="auto" w:fill="FFFFFF"/>
        </w:rPr>
        <w:t>créditos por un valor total de </w:t>
      </w:r>
      <w:r w:rsidR="00AD2DE5" w:rsidRPr="00166658">
        <w:rPr>
          <w:rFonts w:ascii="Arial" w:hAnsi="Arial" w:cs="Arial"/>
          <w:b/>
          <w:bCs/>
          <w:sz w:val="24"/>
          <w:szCs w:val="24"/>
          <w:shd w:val="clear" w:color="auto" w:fill="FFFFFF"/>
        </w:rPr>
        <w:t>$32.20 billones.</w:t>
      </w:r>
    </w:p>
    <w:p w14:paraId="2E917396" w14:textId="77777777" w:rsidR="009A64C1" w:rsidRPr="00106F94" w:rsidRDefault="009A64C1" w:rsidP="00FE781C">
      <w:pPr>
        <w:shd w:val="clear" w:color="auto" w:fill="FFFFFF"/>
        <w:spacing w:after="0" w:line="235" w:lineRule="atLeast"/>
        <w:rPr>
          <w:rFonts w:ascii="Arial" w:eastAsia="Times New Roman" w:hAnsi="Arial" w:cs="Arial"/>
          <w:color w:val="000000"/>
          <w:sz w:val="24"/>
          <w:szCs w:val="24"/>
        </w:rPr>
      </w:pPr>
    </w:p>
    <w:tbl>
      <w:tblPr>
        <w:tblW w:w="1007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117"/>
        <w:gridCol w:w="2020"/>
        <w:gridCol w:w="1840"/>
        <w:gridCol w:w="1960"/>
        <w:gridCol w:w="2140"/>
      </w:tblGrid>
      <w:tr w:rsidR="00AD2DE5" w:rsidRPr="00066B76" w14:paraId="725DAD89" w14:textId="77777777" w:rsidTr="008E579E">
        <w:trPr>
          <w:trHeight w:val="720"/>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0070C0"/>
            <w:tcMar>
              <w:top w:w="0" w:type="dxa"/>
              <w:left w:w="70" w:type="dxa"/>
              <w:bottom w:w="0" w:type="dxa"/>
              <w:right w:w="70" w:type="dxa"/>
            </w:tcMar>
            <w:vAlign w:val="center"/>
            <w:hideMark/>
          </w:tcPr>
          <w:p w14:paraId="1D38FEDB"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Modalidad de crédito </w:t>
            </w:r>
          </w:p>
        </w:tc>
        <w:tc>
          <w:tcPr>
            <w:tcW w:w="202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2E95E8C8"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Monto desembolsos </w:t>
            </w:r>
          </w:p>
        </w:tc>
        <w:tc>
          <w:tcPr>
            <w:tcW w:w="184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48101699"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Número de créditos desembolsados </w:t>
            </w:r>
          </w:p>
        </w:tc>
        <w:tc>
          <w:tcPr>
            <w:tcW w:w="196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2C3FD289"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Monto desembolsos</w:t>
            </w:r>
            <w:r w:rsidRPr="00066B76">
              <w:rPr>
                <w:rFonts w:ascii="Arial" w:eastAsia="Times New Roman" w:hAnsi="Arial" w:cs="Arial"/>
                <w:b/>
                <w:bCs/>
                <w:color w:val="FFFFFF"/>
                <w:sz w:val="20"/>
                <w:szCs w:val="24"/>
                <w:bdr w:val="none" w:sz="0" w:space="0" w:color="auto" w:frame="1"/>
              </w:rPr>
              <w:br/>
              <w:t>acumulados  </w:t>
            </w:r>
          </w:p>
        </w:tc>
        <w:tc>
          <w:tcPr>
            <w:tcW w:w="214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277C9B47"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Número de créditos desembolsados</w:t>
            </w:r>
            <w:r w:rsidRPr="00066B76">
              <w:rPr>
                <w:rFonts w:ascii="Arial" w:eastAsia="Times New Roman" w:hAnsi="Arial" w:cs="Arial"/>
                <w:b/>
                <w:bCs/>
                <w:color w:val="FFFFFF"/>
                <w:sz w:val="20"/>
                <w:szCs w:val="24"/>
                <w:bdr w:val="none" w:sz="0" w:space="0" w:color="auto" w:frame="1"/>
              </w:rPr>
              <w:br/>
              <w:t>acumulados  </w:t>
            </w:r>
          </w:p>
        </w:tc>
      </w:tr>
      <w:tr w:rsidR="00AD2DE5" w:rsidRPr="00066B76" w14:paraId="115D9089" w14:textId="77777777" w:rsidTr="008E579E">
        <w:trPr>
          <w:trHeight w:val="735"/>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ED74A32" w14:textId="77777777" w:rsidR="00AD2DE5" w:rsidRPr="00066B76" w:rsidRDefault="00AD2DE5" w:rsidP="008E579E">
            <w:pPr>
              <w:spacing w:after="0" w:line="240" w:lineRule="auto"/>
              <w:rPr>
                <w:rFonts w:ascii="Arial" w:eastAsia="Times New Roman" w:hAnsi="Arial" w:cs="Arial"/>
                <w:color w:val="000000"/>
                <w:sz w:val="20"/>
                <w:szCs w:val="24"/>
              </w:rPr>
            </w:pPr>
          </w:p>
        </w:tc>
        <w:tc>
          <w:tcPr>
            <w:tcW w:w="202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74462984"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Semanas entre el 25 de diciembre de 2021 el 21 de enero 2022 </w:t>
            </w:r>
          </w:p>
        </w:tc>
        <w:tc>
          <w:tcPr>
            <w:tcW w:w="184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42B3A67D"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Semanas entre el 25 de diciembre de 2021 y el 21 de enero 2022 </w:t>
            </w:r>
          </w:p>
        </w:tc>
        <w:tc>
          <w:tcPr>
            <w:tcW w:w="196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0106D4DE"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20 de marzo 2020 – 21 de enero 2022 </w:t>
            </w:r>
          </w:p>
        </w:tc>
        <w:tc>
          <w:tcPr>
            <w:tcW w:w="214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7E20F8C0"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20 de marzo 2020 –  </w:t>
            </w:r>
          </w:p>
          <w:p w14:paraId="51F3CF1E" w14:textId="77777777" w:rsidR="00AD2DE5" w:rsidRPr="00066B76" w:rsidRDefault="00AD2DE5" w:rsidP="008E579E">
            <w:pPr>
              <w:spacing w:after="0" w:line="235" w:lineRule="atLeast"/>
              <w:jc w:val="center"/>
              <w:rPr>
                <w:rFonts w:ascii="Arial" w:eastAsia="Times New Roman" w:hAnsi="Arial" w:cs="Arial"/>
                <w:color w:val="000000"/>
                <w:sz w:val="20"/>
                <w:szCs w:val="24"/>
              </w:rPr>
            </w:pPr>
            <w:r w:rsidRPr="00066B76">
              <w:rPr>
                <w:rFonts w:ascii="Arial" w:eastAsia="Times New Roman" w:hAnsi="Arial" w:cs="Arial"/>
                <w:b/>
                <w:bCs/>
                <w:color w:val="FFFFFF"/>
                <w:sz w:val="20"/>
                <w:szCs w:val="24"/>
                <w:bdr w:val="none" w:sz="0" w:space="0" w:color="auto" w:frame="1"/>
              </w:rPr>
              <w:t>21 de enero 2022 </w:t>
            </w:r>
          </w:p>
        </w:tc>
      </w:tr>
      <w:tr w:rsidR="00AD2DE5" w:rsidRPr="00066B76" w14:paraId="59E04796" w14:textId="77777777" w:rsidTr="008E579E">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7E9B0E"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Empresas*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0F4646"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$ 16.80b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E07AB45"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1,782,604</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742469E"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$409.37b</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49BD8FE"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48,179,016</w:t>
            </w:r>
          </w:p>
        </w:tc>
      </w:tr>
      <w:tr w:rsidR="00AD2DE5" w:rsidRPr="00066B76" w14:paraId="24D37667" w14:textId="77777777" w:rsidTr="008E579E">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C2731FE"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Microempresas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6B59159"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$ 445,676m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E95E664"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78,821</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7B442C0"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$10.89b</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97190F9"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1,969,532</w:t>
            </w:r>
          </w:p>
        </w:tc>
      </w:tr>
      <w:tr w:rsidR="00AD2DE5" w:rsidRPr="00066B76" w14:paraId="311F9195" w14:textId="77777777" w:rsidTr="008E579E">
        <w:trPr>
          <w:trHeight w:val="49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720E01"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Personas</w:t>
            </w:r>
            <w:r w:rsidRPr="00066B76">
              <w:rPr>
                <w:rFonts w:ascii="Arial" w:eastAsia="Times New Roman" w:hAnsi="Arial" w:cs="Arial"/>
                <w:color w:val="000000"/>
                <w:sz w:val="20"/>
                <w:szCs w:val="24"/>
                <w:bdr w:val="none" w:sz="0" w:space="0" w:color="auto" w:frame="1"/>
              </w:rPr>
              <w:br/>
              <w:t>(Tarjeta de crédito)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902C3B"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$ 6.16b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6FDB48A"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26,007,594</w:t>
            </w:r>
          </w:p>
        </w:tc>
        <w:tc>
          <w:tcPr>
            <w:tcW w:w="1960" w:type="dxa"/>
            <w:tcBorders>
              <w:top w:val="nil"/>
              <w:left w:val="nil"/>
              <w:bottom w:val="nil"/>
              <w:right w:val="single" w:sz="8" w:space="0" w:color="auto"/>
            </w:tcBorders>
            <w:shd w:val="clear" w:color="auto" w:fill="FFFFFF"/>
            <w:tcMar>
              <w:top w:w="0" w:type="dxa"/>
              <w:left w:w="70" w:type="dxa"/>
              <w:bottom w:w="0" w:type="dxa"/>
              <w:right w:w="70" w:type="dxa"/>
            </w:tcMar>
            <w:vAlign w:val="center"/>
          </w:tcPr>
          <w:p w14:paraId="7E03FB8E"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$120.91b</w:t>
            </w:r>
          </w:p>
        </w:tc>
        <w:tc>
          <w:tcPr>
            <w:tcW w:w="2140" w:type="dxa"/>
            <w:tcBorders>
              <w:top w:val="nil"/>
              <w:left w:val="nil"/>
              <w:bottom w:val="nil"/>
              <w:right w:val="single" w:sz="8" w:space="0" w:color="auto"/>
            </w:tcBorders>
            <w:shd w:val="clear" w:color="auto" w:fill="FFFFFF"/>
            <w:tcMar>
              <w:top w:w="0" w:type="dxa"/>
              <w:left w:w="70" w:type="dxa"/>
              <w:bottom w:w="0" w:type="dxa"/>
              <w:right w:w="70" w:type="dxa"/>
            </w:tcMar>
            <w:vAlign w:val="center"/>
          </w:tcPr>
          <w:p w14:paraId="79D6664D"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534,996,331</w:t>
            </w:r>
          </w:p>
        </w:tc>
      </w:tr>
      <w:tr w:rsidR="00AD2DE5" w:rsidRPr="00066B76" w14:paraId="0832A9F6" w14:textId="77777777" w:rsidTr="008E579E">
        <w:trPr>
          <w:trHeight w:val="49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320D37A"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Personas</w:t>
            </w:r>
            <w:r w:rsidRPr="00066B76">
              <w:rPr>
                <w:rFonts w:ascii="Arial" w:eastAsia="Times New Roman" w:hAnsi="Arial" w:cs="Arial"/>
                <w:color w:val="000000"/>
                <w:sz w:val="20"/>
                <w:szCs w:val="24"/>
                <w:bdr w:val="none" w:sz="0" w:space="0" w:color="auto" w:frame="1"/>
              </w:rPr>
              <w:br/>
              <w:t>(Otros consumos) **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5DBAB3"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$ 7.02b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FD03487"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588,097</w:t>
            </w:r>
          </w:p>
        </w:tc>
        <w:tc>
          <w:tcPr>
            <w:tcW w:w="19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17BEE2C"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$155.37b</w:t>
            </w:r>
          </w:p>
        </w:tc>
        <w:tc>
          <w:tcPr>
            <w:tcW w:w="214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A6CBA45"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10,862,340</w:t>
            </w:r>
          </w:p>
        </w:tc>
      </w:tr>
      <w:tr w:rsidR="00AD2DE5" w:rsidRPr="00066B76" w14:paraId="6022FC04" w14:textId="77777777" w:rsidTr="008E579E">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AAEE686"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Hogares VIS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CE5B96"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$ 602,778m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19C74D5"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9,727</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A3AB763"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$8.87b</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9A5104"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162,473</w:t>
            </w:r>
          </w:p>
        </w:tc>
      </w:tr>
      <w:tr w:rsidR="00AD2DE5" w:rsidRPr="00066B76" w14:paraId="146C98B9" w14:textId="77777777" w:rsidTr="008E579E">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92AFF11"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Hogares No VIS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88124E"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bdr w:val="none" w:sz="0" w:space="0" w:color="auto" w:frame="1"/>
              </w:rPr>
              <w:t>$ 1.16b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C332017"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5,983</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062DF74"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$29.08b</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C2361D3"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160,617</w:t>
            </w:r>
          </w:p>
        </w:tc>
      </w:tr>
      <w:tr w:rsidR="00AD2DE5" w:rsidRPr="00066B76" w14:paraId="113CE63E" w14:textId="77777777" w:rsidTr="008E579E">
        <w:trPr>
          <w:trHeight w:val="315"/>
          <w:jc w:val="center"/>
        </w:trPr>
        <w:tc>
          <w:tcPr>
            <w:tcW w:w="2117"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52BA61C" w14:textId="77777777" w:rsidR="00AD2DE5" w:rsidRPr="00066B76" w:rsidRDefault="00AD2DE5" w:rsidP="008E579E">
            <w:pPr>
              <w:spacing w:after="0" w:line="235" w:lineRule="atLeast"/>
              <w:rPr>
                <w:rFonts w:ascii="Arial" w:eastAsia="Times New Roman" w:hAnsi="Arial" w:cs="Arial"/>
                <w:color w:val="000000"/>
                <w:sz w:val="20"/>
                <w:szCs w:val="24"/>
              </w:rPr>
            </w:pPr>
            <w:r w:rsidRPr="00066B76">
              <w:rPr>
                <w:rFonts w:ascii="Arial" w:eastAsia="Times New Roman" w:hAnsi="Arial" w:cs="Arial"/>
                <w:b/>
                <w:bCs/>
                <w:color w:val="000000"/>
                <w:sz w:val="20"/>
                <w:szCs w:val="24"/>
                <w:bdr w:val="none" w:sz="0" w:space="0" w:color="auto" w:frame="1"/>
              </w:rPr>
              <w:t>Total </w:t>
            </w:r>
          </w:p>
        </w:tc>
        <w:tc>
          <w:tcPr>
            <w:tcW w:w="202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6903CCB"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b/>
                <w:bCs/>
                <w:color w:val="000000"/>
                <w:sz w:val="20"/>
                <w:szCs w:val="24"/>
                <w:bdr w:val="none" w:sz="0" w:space="0" w:color="auto" w:frame="1"/>
              </w:rPr>
              <w:t>$32.20b</w:t>
            </w:r>
          </w:p>
        </w:tc>
        <w:tc>
          <w:tcPr>
            <w:tcW w:w="184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678E933"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28,472,781</w:t>
            </w:r>
          </w:p>
        </w:tc>
        <w:tc>
          <w:tcPr>
            <w:tcW w:w="1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7971EDF"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$734.49b</w:t>
            </w:r>
          </w:p>
        </w:tc>
        <w:tc>
          <w:tcPr>
            <w:tcW w:w="214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B882694" w14:textId="77777777" w:rsidR="00AD2DE5" w:rsidRPr="00066B76" w:rsidRDefault="00AD2DE5" w:rsidP="008E579E">
            <w:pPr>
              <w:spacing w:after="0" w:line="235" w:lineRule="atLeast"/>
              <w:jc w:val="right"/>
              <w:rPr>
                <w:rFonts w:ascii="Arial" w:eastAsia="Times New Roman" w:hAnsi="Arial" w:cs="Arial"/>
                <w:color w:val="000000"/>
                <w:sz w:val="20"/>
                <w:szCs w:val="24"/>
              </w:rPr>
            </w:pPr>
            <w:r w:rsidRPr="00066B76">
              <w:rPr>
                <w:rFonts w:ascii="Arial" w:eastAsia="Times New Roman" w:hAnsi="Arial" w:cs="Arial"/>
                <w:color w:val="000000"/>
                <w:sz w:val="20"/>
                <w:szCs w:val="24"/>
              </w:rPr>
              <w:t>596,330,309</w:t>
            </w:r>
          </w:p>
        </w:tc>
      </w:tr>
    </w:tbl>
    <w:p w14:paraId="564575AA" w14:textId="77777777" w:rsidR="00FE781C" w:rsidRPr="00106F94" w:rsidRDefault="00FE781C" w:rsidP="00FE781C">
      <w:pPr>
        <w:shd w:val="clear" w:color="auto" w:fill="FFFFFF"/>
        <w:spacing w:after="0" w:line="253" w:lineRule="atLeast"/>
        <w:jc w:val="center"/>
        <w:rPr>
          <w:rFonts w:ascii="Arial" w:eastAsia="Times New Roman" w:hAnsi="Arial" w:cs="Arial"/>
          <w:color w:val="000000"/>
          <w:sz w:val="24"/>
          <w:szCs w:val="24"/>
        </w:rPr>
      </w:pPr>
      <w:r w:rsidRPr="00106F94">
        <w:rPr>
          <w:rFonts w:ascii="Arial" w:eastAsia="Times New Roman" w:hAnsi="Arial" w:cs="Arial"/>
          <w:b/>
          <w:bCs/>
          <w:color w:val="2D4873"/>
          <w:sz w:val="24"/>
          <w:szCs w:val="24"/>
          <w:bdr w:val="none" w:sz="0" w:space="0" w:color="auto" w:frame="1"/>
        </w:rPr>
        <w:t> </w:t>
      </w:r>
    </w:p>
    <w:p w14:paraId="41F07D0D" w14:textId="77777777" w:rsidR="00AD2DE5" w:rsidRPr="009228E1" w:rsidRDefault="00AD2DE5" w:rsidP="00AD2DE5">
      <w:pPr>
        <w:shd w:val="clear" w:color="auto" w:fill="FFFFFF"/>
        <w:spacing w:after="0" w:line="253" w:lineRule="atLeast"/>
        <w:jc w:val="center"/>
        <w:rPr>
          <w:rFonts w:ascii="Arial" w:eastAsia="Times New Roman" w:hAnsi="Arial" w:cs="Arial"/>
          <w:sz w:val="24"/>
          <w:szCs w:val="24"/>
        </w:rPr>
      </w:pPr>
      <w:r w:rsidRPr="009228E1">
        <w:rPr>
          <w:rFonts w:ascii="Arial" w:eastAsia="Times New Roman" w:hAnsi="Arial" w:cs="Arial"/>
          <w:b/>
          <w:bCs/>
          <w:sz w:val="24"/>
          <w:szCs w:val="24"/>
          <w:bdr w:val="none" w:sz="0" w:space="0" w:color="auto" w:frame="1"/>
        </w:rPr>
        <w:t>Última actualización: (26/01/2022) – Cifras con corte a (21/01/2022) </w:t>
      </w:r>
    </w:p>
    <w:p w14:paraId="41FA2A06" w14:textId="77777777" w:rsidR="00AD2DE5" w:rsidRPr="009228E1" w:rsidRDefault="00AD2DE5" w:rsidP="00AD2DE5">
      <w:pPr>
        <w:shd w:val="clear" w:color="auto" w:fill="FFFFFF"/>
        <w:spacing w:after="0" w:line="235" w:lineRule="atLeast"/>
        <w:ind w:left="1428" w:right="191" w:hanging="720"/>
        <w:jc w:val="both"/>
        <w:rPr>
          <w:rFonts w:ascii="Arial" w:eastAsia="Times New Roman" w:hAnsi="Arial" w:cs="Arial"/>
          <w:color w:val="000000"/>
          <w:sz w:val="24"/>
          <w:szCs w:val="24"/>
        </w:rPr>
      </w:pPr>
      <w:r w:rsidRPr="009228E1">
        <w:rPr>
          <w:rFonts w:ascii="Arial" w:eastAsia="Times New Roman" w:hAnsi="Arial" w:cs="Arial"/>
          <w:b/>
          <w:bCs/>
          <w:color w:val="2D4873"/>
          <w:sz w:val="24"/>
          <w:szCs w:val="24"/>
          <w:bdr w:val="none" w:sz="0" w:space="0" w:color="auto" w:frame="1"/>
        </w:rPr>
        <w:t> </w:t>
      </w:r>
    </w:p>
    <w:p w14:paraId="352B11E8" w14:textId="77777777" w:rsidR="00AD2DE5" w:rsidRPr="009228E1" w:rsidRDefault="00AD2DE5" w:rsidP="00AD2DE5">
      <w:pPr>
        <w:shd w:val="clear" w:color="auto" w:fill="FFFFFF"/>
        <w:spacing w:after="0" w:line="235" w:lineRule="atLeast"/>
        <w:ind w:left="284" w:right="191"/>
        <w:jc w:val="both"/>
        <w:rPr>
          <w:rFonts w:ascii="Arial" w:eastAsia="Times New Roman" w:hAnsi="Arial" w:cs="Arial"/>
          <w:color w:val="000000"/>
          <w:sz w:val="24"/>
          <w:szCs w:val="24"/>
        </w:rPr>
      </w:pPr>
      <w:r w:rsidRPr="009228E1">
        <w:rPr>
          <w:rFonts w:ascii="Arial" w:eastAsia="Times New Roman" w:hAnsi="Arial" w:cs="Arial"/>
          <w:color w:val="000000"/>
          <w:sz w:val="24"/>
          <w:szCs w:val="24"/>
          <w:bdr w:val="none" w:sz="0" w:space="0" w:color="auto" w:frame="1"/>
        </w:rPr>
        <w:t>* Incluye créditos ordinarios, preferenciales, tesorería, especiales, construcción VIS y No VIS, sobregiros y tarjeta de crédito empresarial. </w:t>
      </w:r>
    </w:p>
    <w:p w14:paraId="505AB012" w14:textId="77777777" w:rsidR="00AD2DE5" w:rsidRPr="009228E1" w:rsidRDefault="00AD2DE5" w:rsidP="00AD2DE5">
      <w:pPr>
        <w:shd w:val="clear" w:color="auto" w:fill="FFFFFF"/>
        <w:spacing w:after="0" w:line="235" w:lineRule="atLeast"/>
        <w:ind w:left="284" w:right="191"/>
        <w:jc w:val="both"/>
        <w:rPr>
          <w:rFonts w:ascii="Arial" w:eastAsia="Times New Roman" w:hAnsi="Arial" w:cs="Arial"/>
          <w:color w:val="000000"/>
          <w:sz w:val="24"/>
          <w:szCs w:val="24"/>
        </w:rPr>
      </w:pPr>
      <w:r w:rsidRPr="009228E1">
        <w:rPr>
          <w:rFonts w:ascii="Arial" w:eastAsia="Times New Roman" w:hAnsi="Arial" w:cs="Arial"/>
          <w:color w:val="000000"/>
          <w:sz w:val="24"/>
          <w:szCs w:val="24"/>
          <w:bdr w:val="none" w:sz="0" w:space="0" w:color="auto" w:frame="1"/>
        </w:rPr>
        <w:t>** Incluye créditos de consumo de bajo monto </w:t>
      </w:r>
    </w:p>
    <w:p w14:paraId="4221849F" w14:textId="77777777" w:rsidR="00AD2DE5" w:rsidRPr="009228E1" w:rsidRDefault="00AD2DE5" w:rsidP="00AD2DE5">
      <w:pPr>
        <w:shd w:val="clear" w:color="auto" w:fill="FFFFFF"/>
        <w:spacing w:after="0" w:line="235" w:lineRule="atLeast"/>
        <w:ind w:left="284" w:right="191"/>
        <w:jc w:val="both"/>
        <w:rPr>
          <w:rFonts w:ascii="Arial" w:eastAsia="Times New Roman" w:hAnsi="Arial" w:cs="Arial"/>
          <w:color w:val="000000"/>
          <w:sz w:val="24"/>
          <w:szCs w:val="24"/>
        </w:rPr>
      </w:pPr>
      <w:r w:rsidRPr="009228E1">
        <w:rPr>
          <w:rFonts w:ascii="Arial" w:eastAsia="Times New Roman" w:hAnsi="Arial" w:cs="Arial"/>
          <w:color w:val="000000"/>
          <w:sz w:val="24"/>
          <w:szCs w:val="24"/>
          <w:bdr w:val="none" w:sz="0" w:space="0" w:color="auto" w:frame="1"/>
        </w:rPr>
        <w:t>Unidades: b= billones, m=millones </w:t>
      </w:r>
    </w:p>
    <w:p w14:paraId="1AE998B0" w14:textId="77777777" w:rsidR="00AD2DE5" w:rsidRPr="009228E1" w:rsidRDefault="00AD2DE5" w:rsidP="00AD2DE5">
      <w:pPr>
        <w:shd w:val="clear" w:color="auto" w:fill="FFFFFF"/>
        <w:spacing w:after="0" w:line="235" w:lineRule="atLeast"/>
        <w:ind w:right="191"/>
        <w:jc w:val="both"/>
        <w:rPr>
          <w:rFonts w:ascii="Arial" w:eastAsia="Times New Roman" w:hAnsi="Arial" w:cs="Arial"/>
          <w:color w:val="000000"/>
          <w:sz w:val="24"/>
          <w:szCs w:val="24"/>
          <w:bdr w:val="none" w:sz="0" w:space="0" w:color="auto" w:frame="1"/>
        </w:rPr>
      </w:pPr>
    </w:p>
    <w:p w14:paraId="159C6DA2" w14:textId="77777777" w:rsidR="009A64C1" w:rsidRDefault="009A64C1" w:rsidP="00AD2DE5">
      <w:pPr>
        <w:shd w:val="clear" w:color="auto" w:fill="FFFFFF"/>
        <w:spacing w:after="0" w:line="235" w:lineRule="atLeast"/>
        <w:ind w:left="284" w:right="191"/>
        <w:jc w:val="both"/>
        <w:rPr>
          <w:rFonts w:ascii="Arial" w:eastAsia="Times New Roman" w:hAnsi="Arial" w:cs="Arial"/>
          <w:b/>
          <w:color w:val="000000"/>
          <w:sz w:val="24"/>
          <w:szCs w:val="24"/>
        </w:rPr>
      </w:pPr>
    </w:p>
    <w:p w14:paraId="74921683" w14:textId="28A9CFFA" w:rsidR="00AD2DE5" w:rsidRPr="009228E1" w:rsidRDefault="00AD2DE5" w:rsidP="00AD2DE5">
      <w:pPr>
        <w:shd w:val="clear" w:color="auto" w:fill="FFFFFF"/>
        <w:spacing w:after="0" w:line="235" w:lineRule="atLeast"/>
        <w:ind w:left="284" w:right="191"/>
        <w:jc w:val="both"/>
        <w:rPr>
          <w:rFonts w:ascii="Arial" w:eastAsia="Times New Roman" w:hAnsi="Arial" w:cs="Arial"/>
          <w:b/>
          <w:color w:val="000000"/>
          <w:sz w:val="24"/>
          <w:szCs w:val="24"/>
        </w:rPr>
      </w:pPr>
      <w:r w:rsidRPr="009228E1">
        <w:rPr>
          <w:rFonts w:ascii="Arial" w:eastAsia="Times New Roman" w:hAnsi="Arial" w:cs="Arial"/>
          <w:b/>
          <w:color w:val="000000"/>
          <w:sz w:val="24"/>
          <w:szCs w:val="24"/>
        </w:rPr>
        <w:t>DEUDORES</w:t>
      </w:r>
    </w:p>
    <w:p w14:paraId="23768EB6" w14:textId="77777777" w:rsidR="00AD2DE5" w:rsidRPr="009228E1" w:rsidRDefault="00AD2DE5" w:rsidP="00AD2DE5">
      <w:pPr>
        <w:shd w:val="clear" w:color="auto" w:fill="FFFFFF"/>
        <w:spacing w:after="0" w:line="235" w:lineRule="atLeast"/>
        <w:rPr>
          <w:rFonts w:ascii="Arial" w:eastAsia="Times New Roman" w:hAnsi="Arial" w:cs="Arial"/>
          <w:color w:val="000000"/>
          <w:sz w:val="24"/>
          <w:szCs w:val="24"/>
        </w:rPr>
      </w:pPr>
    </w:p>
    <w:p w14:paraId="3FC26920" w14:textId="0A697865" w:rsidR="00FE781C" w:rsidRPr="00106F94" w:rsidRDefault="00AD2DE5" w:rsidP="00AD2DE5">
      <w:pPr>
        <w:shd w:val="clear" w:color="auto" w:fill="FFFFFF"/>
        <w:spacing w:after="0" w:line="253" w:lineRule="atLeast"/>
        <w:ind w:right="147"/>
        <w:jc w:val="both"/>
        <w:rPr>
          <w:rFonts w:ascii="Arial" w:eastAsia="Times New Roman" w:hAnsi="Arial" w:cs="Arial"/>
          <w:color w:val="000000"/>
          <w:sz w:val="24"/>
          <w:szCs w:val="24"/>
        </w:rPr>
      </w:pPr>
      <w:r w:rsidRPr="009228E1">
        <w:rPr>
          <w:rFonts w:ascii="Arial" w:hAnsi="Arial" w:cs="Arial"/>
          <w:sz w:val="24"/>
          <w:szCs w:val="24"/>
        </w:rPr>
        <w:t>Para el 31 de diciembre de 2021 se reporta</w:t>
      </w:r>
      <w:r w:rsidR="009A64C1">
        <w:rPr>
          <w:rFonts w:ascii="Arial" w:hAnsi="Arial" w:cs="Arial"/>
          <w:sz w:val="24"/>
          <w:szCs w:val="24"/>
        </w:rPr>
        <w:t xml:space="preserve"> un total de 1,852,162 deudores</w:t>
      </w:r>
      <w:r w:rsidRPr="009228E1">
        <w:rPr>
          <w:rFonts w:ascii="Arial" w:hAnsi="Arial" w:cs="Arial"/>
          <w:sz w:val="24"/>
          <w:szCs w:val="24"/>
        </w:rPr>
        <w:t xml:space="preserve"> que redefinieron sus créditos por un valor de $28,56 billones, los cuales se desagregan a continuación:</w:t>
      </w:r>
    </w:p>
    <w:p w14:paraId="36800477" w14:textId="3E116301" w:rsidR="00AD2DE5" w:rsidRDefault="00FE781C" w:rsidP="00FE781C">
      <w:pPr>
        <w:shd w:val="clear" w:color="auto" w:fill="FFFFFF"/>
        <w:spacing w:after="0" w:line="235" w:lineRule="atLeast"/>
        <w:rPr>
          <w:rFonts w:ascii="Arial" w:eastAsia="Times New Roman" w:hAnsi="Arial" w:cs="Arial"/>
          <w:color w:val="000000"/>
          <w:sz w:val="24"/>
          <w:szCs w:val="24"/>
          <w:bdr w:val="none" w:sz="0" w:space="0" w:color="auto" w:frame="1"/>
        </w:rPr>
      </w:pPr>
      <w:r w:rsidRPr="00106F94">
        <w:rPr>
          <w:rFonts w:ascii="Arial" w:eastAsia="Times New Roman" w:hAnsi="Arial" w:cs="Arial"/>
          <w:color w:val="000000"/>
          <w:sz w:val="24"/>
          <w:szCs w:val="24"/>
          <w:bdr w:val="none" w:sz="0" w:space="0" w:color="auto" w:frame="1"/>
        </w:rPr>
        <w:t> </w:t>
      </w:r>
    </w:p>
    <w:p w14:paraId="7722B321" w14:textId="53B9B686" w:rsidR="009A64C1" w:rsidRDefault="009A64C1" w:rsidP="00FE781C">
      <w:pPr>
        <w:shd w:val="clear" w:color="auto" w:fill="FFFFFF"/>
        <w:spacing w:after="0" w:line="235" w:lineRule="atLeast"/>
        <w:rPr>
          <w:rFonts w:ascii="Arial" w:eastAsia="Times New Roman" w:hAnsi="Arial" w:cs="Arial"/>
          <w:color w:val="000000"/>
          <w:sz w:val="24"/>
          <w:szCs w:val="24"/>
        </w:rPr>
      </w:pPr>
    </w:p>
    <w:p w14:paraId="4C27A9CC" w14:textId="77777777" w:rsidR="009A64C1" w:rsidRPr="00106F94" w:rsidRDefault="009A64C1" w:rsidP="00FE781C">
      <w:pPr>
        <w:shd w:val="clear" w:color="auto" w:fill="FFFFFF"/>
        <w:spacing w:after="0" w:line="235" w:lineRule="atLeast"/>
        <w:rPr>
          <w:rFonts w:ascii="Arial" w:eastAsia="Times New Roman" w:hAnsi="Arial" w:cs="Arial"/>
          <w:color w:val="000000"/>
          <w:sz w:val="24"/>
          <w:szCs w:val="24"/>
        </w:rPr>
      </w:pPr>
    </w:p>
    <w:p w14:paraId="7F5CAFCF" w14:textId="3930B720" w:rsidR="00FE781C" w:rsidRDefault="00FE781C" w:rsidP="00FE781C">
      <w:pPr>
        <w:shd w:val="clear" w:color="auto" w:fill="FFFFFF"/>
        <w:spacing w:after="0" w:line="235" w:lineRule="atLeast"/>
        <w:ind w:right="986"/>
        <w:rPr>
          <w:rFonts w:ascii="Arial" w:eastAsia="Times New Roman" w:hAnsi="Arial" w:cs="Arial"/>
          <w:b/>
          <w:bCs/>
          <w:color w:val="000000"/>
          <w:sz w:val="24"/>
          <w:szCs w:val="24"/>
          <w:bdr w:val="none" w:sz="0" w:space="0" w:color="auto" w:frame="1"/>
        </w:rPr>
      </w:pPr>
      <w:r w:rsidRPr="00106F94">
        <w:rPr>
          <w:rFonts w:ascii="Arial" w:eastAsia="Times New Roman" w:hAnsi="Arial" w:cs="Arial"/>
          <w:b/>
          <w:bCs/>
          <w:color w:val="000000"/>
          <w:sz w:val="24"/>
          <w:szCs w:val="24"/>
          <w:bdr w:val="none" w:sz="0" w:space="0" w:color="auto" w:frame="1"/>
        </w:rPr>
        <w:t>Cifras en millones, así: </w:t>
      </w:r>
    </w:p>
    <w:p w14:paraId="1CEE074A" w14:textId="729A725A" w:rsidR="00AD2DE5" w:rsidRDefault="00AD2DE5" w:rsidP="00FE781C">
      <w:pPr>
        <w:shd w:val="clear" w:color="auto" w:fill="FFFFFF"/>
        <w:spacing w:after="0" w:line="235" w:lineRule="atLeast"/>
        <w:ind w:right="986"/>
        <w:rPr>
          <w:rFonts w:ascii="Arial" w:eastAsia="Times New Roman" w:hAnsi="Arial" w:cs="Arial"/>
          <w:b/>
          <w:bCs/>
          <w:color w:val="000000"/>
          <w:sz w:val="24"/>
          <w:szCs w:val="24"/>
          <w:bdr w:val="none" w:sz="0" w:space="0" w:color="auto" w:frame="1"/>
        </w:rPr>
      </w:pPr>
    </w:p>
    <w:tbl>
      <w:tblPr>
        <w:tblStyle w:val="TableNormal"/>
        <w:tblpPr w:leftFromText="141" w:rightFromText="141" w:vertAnchor="text" w:horzAnchor="margin" w:tblpY="163"/>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982"/>
        <w:gridCol w:w="1418"/>
        <w:gridCol w:w="2124"/>
      </w:tblGrid>
      <w:tr w:rsidR="00AD2DE5" w:rsidRPr="00F313AA" w14:paraId="59A03733" w14:textId="77777777" w:rsidTr="009A64C1">
        <w:trPr>
          <w:trHeight w:val="714"/>
        </w:trPr>
        <w:tc>
          <w:tcPr>
            <w:tcW w:w="3257" w:type="dxa"/>
            <w:shd w:val="clear" w:color="auto" w:fill="006FC0"/>
          </w:tcPr>
          <w:p w14:paraId="721C91DE" w14:textId="77777777" w:rsidR="00AD2DE5" w:rsidRPr="00F313AA" w:rsidRDefault="00AD2DE5" w:rsidP="008E579E">
            <w:pPr>
              <w:pStyle w:val="TableParagraph"/>
              <w:rPr>
                <w:b/>
                <w:sz w:val="18"/>
                <w:szCs w:val="24"/>
              </w:rPr>
            </w:pPr>
          </w:p>
          <w:p w14:paraId="4D14E4BD" w14:textId="77777777" w:rsidR="00AD2DE5" w:rsidRPr="00F313AA" w:rsidRDefault="00AD2DE5" w:rsidP="008E579E">
            <w:pPr>
              <w:pStyle w:val="TableParagraph"/>
              <w:ind w:left="1213" w:right="1203"/>
              <w:jc w:val="center"/>
              <w:rPr>
                <w:b/>
                <w:sz w:val="18"/>
                <w:szCs w:val="24"/>
              </w:rPr>
            </w:pPr>
            <w:r w:rsidRPr="00F313AA">
              <w:rPr>
                <w:b/>
                <w:color w:val="FFFFFF"/>
                <w:sz w:val="18"/>
                <w:szCs w:val="24"/>
              </w:rPr>
              <w:t>Producto</w:t>
            </w:r>
          </w:p>
        </w:tc>
        <w:tc>
          <w:tcPr>
            <w:tcW w:w="1982" w:type="dxa"/>
            <w:shd w:val="clear" w:color="auto" w:fill="006FC0"/>
          </w:tcPr>
          <w:p w14:paraId="35980080" w14:textId="77777777" w:rsidR="00AD2DE5" w:rsidRPr="00F313AA" w:rsidRDefault="00AD2DE5" w:rsidP="008E579E">
            <w:pPr>
              <w:pStyle w:val="TableParagraph"/>
              <w:spacing w:before="150"/>
              <w:ind w:left="549" w:right="494" w:hanging="32"/>
              <w:rPr>
                <w:b/>
                <w:sz w:val="18"/>
                <w:szCs w:val="24"/>
              </w:rPr>
            </w:pPr>
            <w:r w:rsidRPr="00F313AA">
              <w:rPr>
                <w:b/>
                <w:color w:val="FFFFFF"/>
                <w:sz w:val="18"/>
                <w:szCs w:val="24"/>
              </w:rPr>
              <w:t>Número de</w:t>
            </w:r>
            <w:r w:rsidRPr="00F313AA">
              <w:rPr>
                <w:b/>
                <w:color w:val="FFFFFF"/>
                <w:spacing w:val="-47"/>
                <w:sz w:val="18"/>
                <w:szCs w:val="24"/>
              </w:rPr>
              <w:t xml:space="preserve"> </w:t>
            </w:r>
            <w:r w:rsidRPr="00F313AA">
              <w:rPr>
                <w:b/>
                <w:color w:val="FFFFFF"/>
                <w:sz w:val="18"/>
                <w:szCs w:val="24"/>
              </w:rPr>
              <w:t>deudores*</w:t>
            </w:r>
          </w:p>
        </w:tc>
        <w:tc>
          <w:tcPr>
            <w:tcW w:w="1418" w:type="dxa"/>
            <w:shd w:val="clear" w:color="auto" w:fill="006FC0"/>
          </w:tcPr>
          <w:p w14:paraId="2358002D" w14:textId="77777777" w:rsidR="00AD2DE5" w:rsidRPr="00F313AA" w:rsidRDefault="00AD2DE5" w:rsidP="008E579E">
            <w:pPr>
              <w:pStyle w:val="TableParagraph"/>
              <w:spacing w:before="150"/>
              <w:ind w:left="180" w:right="147" w:firstLine="57"/>
              <w:rPr>
                <w:b/>
                <w:sz w:val="18"/>
                <w:szCs w:val="24"/>
              </w:rPr>
            </w:pPr>
            <w:r w:rsidRPr="00F313AA">
              <w:rPr>
                <w:b/>
                <w:color w:val="FFFFFF"/>
                <w:sz w:val="18"/>
                <w:szCs w:val="24"/>
              </w:rPr>
              <w:t>Número de</w:t>
            </w:r>
            <w:r w:rsidRPr="00F313AA">
              <w:rPr>
                <w:b/>
                <w:color w:val="FFFFFF"/>
                <w:spacing w:val="1"/>
                <w:sz w:val="18"/>
                <w:szCs w:val="24"/>
              </w:rPr>
              <w:t xml:space="preserve"> </w:t>
            </w:r>
            <w:r w:rsidRPr="00F313AA">
              <w:rPr>
                <w:b/>
                <w:color w:val="FFFFFF"/>
                <w:sz w:val="18"/>
                <w:szCs w:val="24"/>
              </w:rPr>
              <w:t>operaciones</w:t>
            </w:r>
          </w:p>
        </w:tc>
        <w:tc>
          <w:tcPr>
            <w:tcW w:w="2124" w:type="dxa"/>
            <w:shd w:val="clear" w:color="auto" w:fill="006FC0"/>
          </w:tcPr>
          <w:p w14:paraId="020B7161" w14:textId="77777777" w:rsidR="00AD2DE5" w:rsidRPr="00F313AA" w:rsidRDefault="00AD2DE5" w:rsidP="008E579E">
            <w:pPr>
              <w:pStyle w:val="TableParagraph"/>
              <w:rPr>
                <w:b/>
                <w:sz w:val="18"/>
                <w:szCs w:val="24"/>
              </w:rPr>
            </w:pPr>
          </w:p>
          <w:p w14:paraId="0C093E1B" w14:textId="77777777" w:rsidR="00AD2DE5" w:rsidRPr="00F313AA" w:rsidRDefault="00AD2DE5" w:rsidP="008E579E">
            <w:pPr>
              <w:pStyle w:val="TableParagraph"/>
              <w:ind w:left="798" w:right="785"/>
              <w:jc w:val="center"/>
              <w:rPr>
                <w:b/>
                <w:sz w:val="18"/>
                <w:szCs w:val="24"/>
              </w:rPr>
            </w:pPr>
            <w:r w:rsidRPr="00F313AA">
              <w:rPr>
                <w:b/>
                <w:color w:val="FFFFFF"/>
                <w:sz w:val="18"/>
                <w:szCs w:val="24"/>
              </w:rPr>
              <w:t>Saldo</w:t>
            </w:r>
          </w:p>
        </w:tc>
      </w:tr>
      <w:tr w:rsidR="00AD2DE5" w:rsidRPr="00F313AA" w14:paraId="1FF42076" w14:textId="77777777" w:rsidTr="009A64C1">
        <w:trPr>
          <w:trHeight w:val="237"/>
        </w:trPr>
        <w:tc>
          <w:tcPr>
            <w:tcW w:w="3257" w:type="dxa"/>
          </w:tcPr>
          <w:p w14:paraId="7272827F" w14:textId="77777777" w:rsidR="00AD2DE5" w:rsidRPr="00F313AA" w:rsidRDefault="00AD2DE5" w:rsidP="008E579E">
            <w:pPr>
              <w:pStyle w:val="TableParagraph"/>
              <w:spacing w:line="206" w:lineRule="exact"/>
              <w:ind w:left="71"/>
              <w:rPr>
                <w:sz w:val="18"/>
                <w:szCs w:val="24"/>
              </w:rPr>
            </w:pPr>
            <w:r w:rsidRPr="00F313AA">
              <w:rPr>
                <w:sz w:val="18"/>
                <w:szCs w:val="24"/>
              </w:rPr>
              <w:t>Construcción</w:t>
            </w:r>
          </w:p>
        </w:tc>
        <w:tc>
          <w:tcPr>
            <w:tcW w:w="1982" w:type="dxa"/>
          </w:tcPr>
          <w:p w14:paraId="2E053108" w14:textId="77777777" w:rsidR="00AD2DE5" w:rsidRPr="00F313AA" w:rsidRDefault="00AD2DE5" w:rsidP="008E579E">
            <w:pPr>
              <w:pStyle w:val="TableParagraph"/>
              <w:spacing w:line="206" w:lineRule="exact"/>
              <w:ind w:right="56"/>
              <w:rPr>
                <w:sz w:val="18"/>
                <w:szCs w:val="24"/>
              </w:rPr>
            </w:pPr>
            <w:r w:rsidRPr="00F313AA">
              <w:rPr>
                <w:sz w:val="18"/>
                <w:szCs w:val="24"/>
              </w:rPr>
              <w:t>192</w:t>
            </w:r>
          </w:p>
        </w:tc>
        <w:tc>
          <w:tcPr>
            <w:tcW w:w="1418" w:type="dxa"/>
          </w:tcPr>
          <w:p w14:paraId="1836D328" w14:textId="77777777" w:rsidR="00AD2DE5" w:rsidRPr="00F313AA" w:rsidRDefault="00AD2DE5" w:rsidP="008E579E">
            <w:pPr>
              <w:pStyle w:val="TableParagraph"/>
              <w:spacing w:line="206" w:lineRule="exact"/>
              <w:ind w:right="56"/>
              <w:rPr>
                <w:sz w:val="18"/>
                <w:szCs w:val="24"/>
              </w:rPr>
            </w:pPr>
            <w:r w:rsidRPr="00F313AA">
              <w:rPr>
                <w:sz w:val="18"/>
                <w:szCs w:val="24"/>
              </w:rPr>
              <w:t>708</w:t>
            </w:r>
          </w:p>
        </w:tc>
        <w:tc>
          <w:tcPr>
            <w:tcW w:w="2124" w:type="dxa"/>
          </w:tcPr>
          <w:p w14:paraId="0A4F5171" w14:textId="77777777" w:rsidR="00AD2DE5" w:rsidRPr="00F313AA" w:rsidRDefault="00AD2DE5" w:rsidP="008E579E">
            <w:pPr>
              <w:pStyle w:val="TableParagraph"/>
              <w:spacing w:line="206" w:lineRule="exact"/>
              <w:ind w:right="56"/>
              <w:rPr>
                <w:sz w:val="18"/>
                <w:szCs w:val="24"/>
              </w:rPr>
            </w:pPr>
            <w:r w:rsidRPr="00F313AA">
              <w:rPr>
                <w:sz w:val="18"/>
                <w:szCs w:val="24"/>
              </w:rPr>
              <w:t>$574,026,502,883</w:t>
            </w:r>
          </w:p>
        </w:tc>
      </w:tr>
      <w:tr w:rsidR="00AD2DE5" w:rsidRPr="00F313AA" w14:paraId="5B04F3BB" w14:textId="77777777" w:rsidTr="009A64C1">
        <w:trPr>
          <w:trHeight w:val="237"/>
        </w:trPr>
        <w:tc>
          <w:tcPr>
            <w:tcW w:w="3257" w:type="dxa"/>
          </w:tcPr>
          <w:p w14:paraId="738E227C" w14:textId="77777777" w:rsidR="00AD2DE5" w:rsidRPr="00F313AA" w:rsidRDefault="00AD2DE5" w:rsidP="008E579E">
            <w:pPr>
              <w:pStyle w:val="TableParagraph"/>
              <w:spacing w:line="206" w:lineRule="exact"/>
              <w:ind w:left="71"/>
              <w:rPr>
                <w:sz w:val="18"/>
                <w:szCs w:val="24"/>
              </w:rPr>
            </w:pPr>
            <w:r w:rsidRPr="00F313AA">
              <w:rPr>
                <w:sz w:val="18"/>
                <w:szCs w:val="24"/>
              </w:rPr>
              <w:t>Corporativo</w:t>
            </w:r>
          </w:p>
        </w:tc>
        <w:tc>
          <w:tcPr>
            <w:tcW w:w="1982" w:type="dxa"/>
          </w:tcPr>
          <w:p w14:paraId="2ECDE429" w14:textId="77777777" w:rsidR="00AD2DE5" w:rsidRPr="00F313AA" w:rsidRDefault="00AD2DE5" w:rsidP="008E579E">
            <w:pPr>
              <w:pStyle w:val="TableParagraph"/>
              <w:spacing w:line="206" w:lineRule="exact"/>
              <w:ind w:right="56"/>
              <w:rPr>
                <w:sz w:val="18"/>
                <w:szCs w:val="24"/>
              </w:rPr>
            </w:pPr>
            <w:r w:rsidRPr="00F313AA">
              <w:rPr>
                <w:sz w:val="18"/>
                <w:szCs w:val="24"/>
              </w:rPr>
              <w:t>177</w:t>
            </w:r>
          </w:p>
        </w:tc>
        <w:tc>
          <w:tcPr>
            <w:tcW w:w="1418" w:type="dxa"/>
          </w:tcPr>
          <w:p w14:paraId="2BB6CF23" w14:textId="77777777" w:rsidR="00AD2DE5" w:rsidRPr="00F313AA" w:rsidRDefault="00AD2DE5" w:rsidP="008E579E">
            <w:pPr>
              <w:pStyle w:val="TableParagraph"/>
              <w:spacing w:line="206" w:lineRule="exact"/>
              <w:ind w:right="56"/>
              <w:rPr>
                <w:sz w:val="18"/>
                <w:szCs w:val="24"/>
              </w:rPr>
            </w:pPr>
            <w:r w:rsidRPr="00F313AA">
              <w:rPr>
                <w:sz w:val="18"/>
                <w:szCs w:val="24"/>
              </w:rPr>
              <w:t>272</w:t>
            </w:r>
          </w:p>
        </w:tc>
        <w:tc>
          <w:tcPr>
            <w:tcW w:w="2124" w:type="dxa"/>
          </w:tcPr>
          <w:p w14:paraId="1F354E2E" w14:textId="77777777" w:rsidR="00AD2DE5" w:rsidRPr="00F313AA" w:rsidRDefault="00AD2DE5" w:rsidP="008E579E">
            <w:pPr>
              <w:pStyle w:val="TableParagraph"/>
              <w:spacing w:line="206" w:lineRule="exact"/>
              <w:ind w:right="58"/>
              <w:rPr>
                <w:sz w:val="18"/>
                <w:szCs w:val="24"/>
              </w:rPr>
            </w:pPr>
            <w:r w:rsidRPr="00F313AA">
              <w:rPr>
                <w:sz w:val="18"/>
                <w:szCs w:val="24"/>
              </w:rPr>
              <w:t>$1,700,742,049,312</w:t>
            </w:r>
          </w:p>
        </w:tc>
      </w:tr>
      <w:tr w:rsidR="00AD2DE5" w:rsidRPr="00F313AA" w14:paraId="420CCE56" w14:textId="77777777" w:rsidTr="009A64C1">
        <w:trPr>
          <w:trHeight w:val="239"/>
        </w:trPr>
        <w:tc>
          <w:tcPr>
            <w:tcW w:w="3257" w:type="dxa"/>
          </w:tcPr>
          <w:p w14:paraId="68072F89" w14:textId="77777777" w:rsidR="00AD2DE5" w:rsidRPr="00F313AA" w:rsidRDefault="00AD2DE5" w:rsidP="008E579E">
            <w:pPr>
              <w:pStyle w:val="TableParagraph"/>
              <w:spacing w:before="1"/>
              <w:ind w:left="71"/>
              <w:rPr>
                <w:sz w:val="18"/>
                <w:szCs w:val="24"/>
              </w:rPr>
            </w:pPr>
            <w:r w:rsidRPr="00F313AA">
              <w:rPr>
                <w:sz w:val="18"/>
                <w:szCs w:val="24"/>
              </w:rPr>
              <w:t>Empresarial</w:t>
            </w:r>
          </w:p>
        </w:tc>
        <w:tc>
          <w:tcPr>
            <w:tcW w:w="1982" w:type="dxa"/>
          </w:tcPr>
          <w:p w14:paraId="76B79C78" w14:textId="77777777" w:rsidR="00AD2DE5" w:rsidRPr="00F313AA" w:rsidRDefault="00AD2DE5" w:rsidP="008E579E">
            <w:pPr>
              <w:pStyle w:val="TableParagraph"/>
              <w:spacing w:before="1"/>
              <w:ind w:right="55"/>
              <w:rPr>
                <w:sz w:val="18"/>
                <w:szCs w:val="24"/>
              </w:rPr>
            </w:pPr>
            <w:r w:rsidRPr="00F313AA">
              <w:rPr>
                <w:sz w:val="18"/>
                <w:szCs w:val="24"/>
              </w:rPr>
              <w:t>2,620</w:t>
            </w:r>
          </w:p>
        </w:tc>
        <w:tc>
          <w:tcPr>
            <w:tcW w:w="1418" w:type="dxa"/>
          </w:tcPr>
          <w:p w14:paraId="7CFA918A" w14:textId="77777777" w:rsidR="00AD2DE5" w:rsidRPr="00F313AA" w:rsidRDefault="00AD2DE5" w:rsidP="008E579E">
            <w:pPr>
              <w:pStyle w:val="TableParagraph"/>
              <w:spacing w:before="1"/>
              <w:ind w:right="55"/>
              <w:rPr>
                <w:sz w:val="18"/>
                <w:szCs w:val="24"/>
              </w:rPr>
            </w:pPr>
            <w:r w:rsidRPr="00F313AA">
              <w:rPr>
                <w:sz w:val="18"/>
                <w:szCs w:val="24"/>
              </w:rPr>
              <w:t>3,739</w:t>
            </w:r>
          </w:p>
        </w:tc>
        <w:tc>
          <w:tcPr>
            <w:tcW w:w="2124" w:type="dxa"/>
          </w:tcPr>
          <w:p w14:paraId="33AE5558" w14:textId="77777777" w:rsidR="00AD2DE5" w:rsidRPr="00F313AA" w:rsidRDefault="00AD2DE5" w:rsidP="008E579E">
            <w:pPr>
              <w:pStyle w:val="TableParagraph"/>
              <w:spacing w:before="1"/>
              <w:ind w:right="58"/>
              <w:rPr>
                <w:sz w:val="18"/>
                <w:szCs w:val="24"/>
              </w:rPr>
            </w:pPr>
            <w:r w:rsidRPr="00F313AA">
              <w:rPr>
                <w:sz w:val="18"/>
                <w:szCs w:val="24"/>
              </w:rPr>
              <w:t>$1,238,789,596,961</w:t>
            </w:r>
          </w:p>
        </w:tc>
      </w:tr>
      <w:tr w:rsidR="00AD2DE5" w:rsidRPr="00F313AA" w14:paraId="31CFF15D" w14:textId="77777777" w:rsidTr="009A64C1">
        <w:trPr>
          <w:trHeight w:val="237"/>
        </w:trPr>
        <w:tc>
          <w:tcPr>
            <w:tcW w:w="3257" w:type="dxa"/>
          </w:tcPr>
          <w:p w14:paraId="00548A05" w14:textId="77777777" w:rsidR="00AD2DE5" w:rsidRPr="00F313AA" w:rsidRDefault="00AD2DE5" w:rsidP="008E579E">
            <w:pPr>
              <w:pStyle w:val="TableParagraph"/>
              <w:spacing w:line="206" w:lineRule="exact"/>
              <w:ind w:left="71"/>
              <w:rPr>
                <w:sz w:val="18"/>
                <w:szCs w:val="24"/>
              </w:rPr>
            </w:pPr>
            <w:r w:rsidRPr="00F313AA">
              <w:rPr>
                <w:sz w:val="18"/>
                <w:szCs w:val="24"/>
              </w:rPr>
              <w:t>Factoring</w:t>
            </w:r>
          </w:p>
        </w:tc>
        <w:tc>
          <w:tcPr>
            <w:tcW w:w="1982" w:type="dxa"/>
          </w:tcPr>
          <w:p w14:paraId="463F8DF3" w14:textId="77777777" w:rsidR="00AD2DE5" w:rsidRPr="00F313AA" w:rsidRDefault="00AD2DE5" w:rsidP="008E579E">
            <w:pPr>
              <w:pStyle w:val="TableParagraph"/>
              <w:spacing w:line="206" w:lineRule="exact"/>
              <w:ind w:right="56"/>
              <w:rPr>
                <w:sz w:val="18"/>
                <w:szCs w:val="24"/>
              </w:rPr>
            </w:pPr>
            <w:r w:rsidRPr="00F313AA">
              <w:rPr>
                <w:sz w:val="18"/>
                <w:szCs w:val="24"/>
              </w:rPr>
              <w:t>44</w:t>
            </w:r>
          </w:p>
        </w:tc>
        <w:tc>
          <w:tcPr>
            <w:tcW w:w="1418" w:type="dxa"/>
          </w:tcPr>
          <w:p w14:paraId="0F357C99" w14:textId="77777777" w:rsidR="00AD2DE5" w:rsidRPr="00F313AA" w:rsidRDefault="00AD2DE5" w:rsidP="008E579E">
            <w:pPr>
              <w:pStyle w:val="TableParagraph"/>
              <w:spacing w:line="206" w:lineRule="exact"/>
              <w:ind w:right="55"/>
              <w:rPr>
                <w:sz w:val="18"/>
                <w:szCs w:val="24"/>
              </w:rPr>
            </w:pPr>
            <w:r w:rsidRPr="00F313AA">
              <w:rPr>
                <w:sz w:val="18"/>
                <w:szCs w:val="24"/>
              </w:rPr>
              <w:t>1,587</w:t>
            </w:r>
          </w:p>
        </w:tc>
        <w:tc>
          <w:tcPr>
            <w:tcW w:w="2124" w:type="dxa"/>
          </w:tcPr>
          <w:p w14:paraId="11F9A8DD" w14:textId="77777777" w:rsidR="00AD2DE5" w:rsidRPr="00F313AA" w:rsidRDefault="00AD2DE5" w:rsidP="008E579E">
            <w:pPr>
              <w:pStyle w:val="TableParagraph"/>
              <w:spacing w:line="206" w:lineRule="exact"/>
              <w:ind w:right="58"/>
              <w:rPr>
                <w:sz w:val="18"/>
                <w:szCs w:val="24"/>
              </w:rPr>
            </w:pPr>
            <w:r w:rsidRPr="00F313AA">
              <w:rPr>
                <w:sz w:val="18"/>
                <w:szCs w:val="24"/>
              </w:rPr>
              <w:t>$25,416,266,811</w:t>
            </w:r>
          </w:p>
        </w:tc>
      </w:tr>
      <w:tr w:rsidR="00AD2DE5" w:rsidRPr="00F313AA" w14:paraId="3A121610" w14:textId="77777777" w:rsidTr="009A64C1">
        <w:trPr>
          <w:trHeight w:val="237"/>
        </w:trPr>
        <w:tc>
          <w:tcPr>
            <w:tcW w:w="3257" w:type="dxa"/>
          </w:tcPr>
          <w:p w14:paraId="116B56C7" w14:textId="77777777" w:rsidR="00AD2DE5" w:rsidRPr="00F313AA" w:rsidRDefault="00AD2DE5" w:rsidP="008E579E">
            <w:pPr>
              <w:pStyle w:val="TableParagraph"/>
              <w:spacing w:line="206" w:lineRule="exact"/>
              <w:ind w:left="71"/>
              <w:rPr>
                <w:sz w:val="18"/>
                <w:szCs w:val="24"/>
              </w:rPr>
            </w:pPr>
            <w:r w:rsidRPr="00F313AA">
              <w:rPr>
                <w:sz w:val="18"/>
                <w:szCs w:val="24"/>
              </w:rPr>
              <w:t>Financiero/institucional</w:t>
            </w:r>
          </w:p>
        </w:tc>
        <w:tc>
          <w:tcPr>
            <w:tcW w:w="1982" w:type="dxa"/>
          </w:tcPr>
          <w:p w14:paraId="5DECC989" w14:textId="77777777" w:rsidR="00AD2DE5" w:rsidRPr="00F313AA" w:rsidRDefault="00AD2DE5" w:rsidP="008E579E">
            <w:pPr>
              <w:pStyle w:val="TableParagraph"/>
              <w:spacing w:line="206" w:lineRule="exact"/>
              <w:ind w:right="57"/>
              <w:rPr>
                <w:sz w:val="18"/>
                <w:szCs w:val="24"/>
              </w:rPr>
            </w:pPr>
            <w:r w:rsidRPr="00F313AA">
              <w:rPr>
                <w:w w:val="99"/>
                <w:sz w:val="18"/>
                <w:szCs w:val="24"/>
              </w:rPr>
              <w:t>6</w:t>
            </w:r>
          </w:p>
        </w:tc>
        <w:tc>
          <w:tcPr>
            <w:tcW w:w="1418" w:type="dxa"/>
          </w:tcPr>
          <w:p w14:paraId="5FFC8447" w14:textId="77777777" w:rsidR="00AD2DE5" w:rsidRPr="00F313AA" w:rsidRDefault="00AD2DE5" w:rsidP="008E579E">
            <w:pPr>
              <w:pStyle w:val="TableParagraph"/>
              <w:spacing w:line="206" w:lineRule="exact"/>
              <w:ind w:right="56"/>
              <w:rPr>
                <w:sz w:val="18"/>
                <w:szCs w:val="24"/>
              </w:rPr>
            </w:pPr>
            <w:r w:rsidRPr="00F313AA">
              <w:rPr>
                <w:sz w:val="18"/>
                <w:szCs w:val="24"/>
              </w:rPr>
              <w:t>44</w:t>
            </w:r>
          </w:p>
        </w:tc>
        <w:tc>
          <w:tcPr>
            <w:tcW w:w="2124" w:type="dxa"/>
          </w:tcPr>
          <w:p w14:paraId="756B8D21" w14:textId="77777777" w:rsidR="00AD2DE5" w:rsidRPr="00F313AA" w:rsidRDefault="00AD2DE5" w:rsidP="008E579E">
            <w:pPr>
              <w:pStyle w:val="TableParagraph"/>
              <w:spacing w:line="206" w:lineRule="exact"/>
              <w:ind w:right="58"/>
              <w:rPr>
                <w:sz w:val="18"/>
                <w:szCs w:val="24"/>
              </w:rPr>
            </w:pPr>
            <w:r w:rsidRPr="00F313AA">
              <w:rPr>
                <w:sz w:val="18"/>
                <w:szCs w:val="24"/>
              </w:rPr>
              <w:t>$49,522,608,597</w:t>
            </w:r>
          </w:p>
        </w:tc>
      </w:tr>
      <w:tr w:rsidR="00AD2DE5" w:rsidRPr="00F313AA" w14:paraId="0A2F1120" w14:textId="77777777" w:rsidTr="009A64C1">
        <w:trPr>
          <w:trHeight w:val="239"/>
        </w:trPr>
        <w:tc>
          <w:tcPr>
            <w:tcW w:w="3257" w:type="dxa"/>
          </w:tcPr>
          <w:p w14:paraId="62E52D04" w14:textId="77777777" w:rsidR="00AD2DE5" w:rsidRPr="00F313AA" w:rsidRDefault="00AD2DE5" w:rsidP="008E579E">
            <w:pPr>
              <w:pStyle w:val="TableParagraph"/>
              <w:spacing w:before="1"/>
              <w:ind w:left="71"/>
              <w:rPr>
                <w:sz w:val="18"/>
                <w:szCs w:val="24"/>
              </w:rPr>
            </w:pPr>
            <w:r w:rsidRPr="00F313AA">
              <w:rPr>
                <w:sz w:val="18"/>
                <w:szCs w:val="24"/>
              </w:rPr>
              <w:t>Leasing</w:t>
            </w:r>
          </w:p>
        </w:tc>
        <w:tc>
          <w:tcPr>
            <w:tcW w:w="1982" w:type="dxa"/>
          </w:tcPr>
          <w:p w14:paraId="0CFCDE0E" w14:textId="77777777" w:rsidR="00AD2DE5" w:rsidRPr="00F313AA" w:rsidRDefault="00AD2DE5" w:rsidP="008E579E">
            <w:pPr>
              <w:pStyle w:val="TableParagraph"/>
              <w:spacing w:before="1"/>
              <w:ind w:right="56"/>
              <w:rPr>
                <w:sz w:val="18"/>
                <w:szCs w:val="24"/>
              </w:rPr>
            </w:pPr>
            <w:r w:rsidRPr="00F313AA">
              <w:rPr>
                <w:sz w:val="18"/>
                <w:szCs w:val="24"/>
              </w:rPr>
              <w:t>961</w:t>
            </w:r>
          </w:p>
        </w:tc>
        <w:tc>
          <w:tcPr>
            <w:tcW w:w="1418" w:type="dxa"/>
          </w:tcPr>
          <w:p w14:paraId="5BDF6C44" w14:textId="77777777" w:rsidR="00AD2DE5" w:rsidRPr="00F313AA" w:rsidRDefault="00AD2DE5" w:rsidP="008E579E">
            <w:pPr>
              <w:pStyle w:val="TableParagraph"/>
              <w:spacing w:before="1"/>
              <w:ind w:right="55"/>
              <w:rPr>
                <w:sz w:val="18"/>
                <w:szCs w:val="24"/>
              </w:rPr>
            </w:pPr>
            <w:r w:rsidRPr="00F313AA">
              <w:rPr>
                <w:sz w:val="18"/>
                <w:szCs w:val="24"/>
              </w:rPr>
              <w:t>1,494</w:t>
            </w:r>
          </w:p>
        </w:tc>
        <w:tc>
          <w:tcPr>
            <w:tcW w:w="2124" w:type="dxa"/>
          </w:tcPr>
          <w:p w14:paraId="25495ADA" w14:textId="77777777" w:rsidR="00AD2DE5" w:rsidRPr="00F313AA" w:rsidRDefault="00AD2DE5" w:rsidP="008E579E">
            <w:pPr>
              <w:pStyle w:val="TableParagraph"/>
              <w:spacing w:before="1"/>
              <w:ind w:right="56"/>
              <w:rPr>
                <w:sz w:val="18"/>
                <w:szCs w:val="24"/>
              </w:rPr>
            </w:pPr>
            <w:r w:rsidRPr="00F313AA">
              <w:rPr>
                <w:sz w:val="18"/>
                <w:szCs w:val="24"/>
              </w:rPr>
              <w:t>$856,917,414,221</w:t>
            </w:r>
          </w:p>
        </w:tc>
      </w:tr>
      <w:tr w:rsidR="00AD2DE5" w:rsidRPr="00F313AA" w14:paraId="0E80056C" w14:textId="77777777" w:rsidTr="009A64C1">
        <w:trPr>
          <w:trHeight w:val="237"/>
        </w:trPr>
        <w:tc>
          <w:tcPr>
            <w:tcW w:w="3257" w:type="dxa"/>
          </w:tcPr>
          <w:p w14:paraId="4AB0A761" w14:textId="77777777" w:rsidR="00AD2DE5" w:rsidRPr="00F313AA" w:rsidRDefault="00AD2DE5" w:rsidP="008E579E">
            <w:pPr>
              <w:pStyle w:val="TableParagraph"/>
              <w:spacing w:line="206" w:lineRule="exact"/>
              <w:ind w:left="71"/>
              <w:rPr>
                <w:sz w:val="18"/>
                <w:szCs w:val="24"/>
              </w:rPr>
            </w:pPr>
            <w:r w:rsidRPr="00F313AA">
              <w:rPr>
                <w:sz w:val="18"/>
                <w:szCs w:val="24"/>
              </w:rPr>
              <w:t>Microempresa</w:t>
            </w:r>
          </w:p>
        </w:tc>
        <w:tc>
          <w:tcPr>
            <w:tcW w:w="1982" w:type="dxa"/>
          </w:tcPr>
          <w:p w14:paraId="76121B43" w14:textId="77777777" w:rsidR="00AD2DE5" w:rsidRPr="00F313AA" w:rsidRDefault="00AD2DE5" w:rsidP="008E579E">
            <w:pPr>
              <w:pStyle w:val="TableParagraph"/>
              <w:spacing w:line="206" w:lineRule="exact"/>
              <w:ind w:right="58"/>
              <w:rPr>
                <w:sz w:val="18"/>
                <w:szCs w:val="24"/>
              </w:rPr>
            </w:pPr>
            <w:r w:rsidRPr="00F313AA">
              <w:rPr>
                <w:sz w:val="18"/>
                <w:szCs w:val="24"/>
              </w:rPr>
              <w:t>15,115</w:t>
            </w:r>
          </w:p>
        </w:tc>
        <w:tc>
          <w:tcPr>
            <w:tcW w:w="1418" w:type="dxa"/>
          </w:tcPr>
          <w:p w14:paraId="2FACD02D" w14:textId="77777777" w:rsidR="00AD2DE5" w:rsidRPr="00F313AA" w:rsidRDefault="00AD2DE5" w:rsidP="008E579E">
            <w:pPr>
              <w:pStyle w:val="TableParagraph"/>
              <w:spacing w:line="206" w:lineRule="exact"/>
              <w:ind w:right="57"/>
              <w:rPr>
                <w:sz w:val="18"/>
                <w:szCs w:val="24"/>
              </w:rPr>
            </w:pPr>
            <w:r w:rsidRPr="00F313AA">
              <w:rPr>
                <w:sz w:val="18"/>
                <w:szCs w:val="24"/>
              </w:rPr>
              <w:t>19,280</w:t>
            </w:r>
          </w:p>
        </w:tc>
        <w:tc>
          <w:tcPr>
            <w:tcW w:w="2124" w:type="dxa"/>
          </w:tcPr>
          <w:p w14:paraId="13BB2B7D" w14:textId="77777777" w:rsidR="00AD2DE5" w:rsidRPr="00F313AA" w:rsidRDefault="00AD2DE5" w:rsidP="008E579E">
            <w:pPr>
              <w:pStyle w:val="TableParagraph"/>
              <w:spacing w:line="206" w:lineRule="exact"/>
              <w:ind w:right="56"/>
              <w:rPr>
                <w:sz w:val="18"/>
                <w:szCs w:val="24"/>
              </w:rPr>
            </w:pPr>
            <w:r w:rsidRPr="00F313AA">
              <w:rPr>
                <w:sz w:val="18"/>
                <w:szCs w:val="24"/>
              </w:rPr>
              <w:t>$661,850,323,144</w:t>
            </w:r>
          </w:p>
        </w:tc>
      </w:tr>
      <w:tr w:rsidR="00AD2DE5" w:rsidRPr="00F313AA" w14:paraId="7241FBBA" w14:textId="77777777" w:rsidTr="009A64C1">
        <w:trPr>
          <w:trHeight w:val="237"/>
        </w:trPr>
        <w:tc>
          <w:tcPr>
            <w:tcW w:w="3257" w:type="dxa"/>
          </w:tcPr>
          <w:p w14:paraId="605CBDC0" w14:textId="77777777" w:rsidR="00AD2DE5" w:rsidRPr="00F313AA" w:rsidRDefault="00AD2DE5" w:rsidP="008E579E">
            <w:pPr>
              <w:pStyle w:val="TableParagraph"/>
              <w:spacing w:line="206" w:lineRule="exact"/>
              <w:ind w:left="71"/>
              <w:rPr>
                <w:sz w:val="18"/>
                <w:szCs w:val="24"/>
              </w:rPr>
            </w:pPr>
            <w:r w:rsidRPr="00F313AA">
              <w:rPr>
                <w:sz w:val="18"/>
                <w:szCs w:val="24"/>
              </w:rPr>
              <w:t>Moneda</w:t>
            </w:r>
            <w:r w:rsidRPr="00F313AA">
              <w:rPr>
                <w:spacing w:val="-3"/>
                <w:sz w:val="18"/>
                <w:szCs w:val="24"/>
              </w:rPr>
              <w:t xml:space="preserve"> </w:t>
            </w:r>
            <w:r w:rsidRPr="00F313AA">
              <w:rPr>
                <w:sz w:val="18"/>
                <w:szCs w:val="24"/>
              </w:rPr>
              <w:t>Extranjera</w:t>
            </w:r>
          </w:p>
        </w:tc>
        <w:tc>
          <w:tcPr>
            <w:tcW w:w="1982" w:type="dxa"/>
          </w:tcPr>
          <w:p w14:paraId="60E84D75" w14:textId="77777777" w:rsidR="00AD2DE5" w:rsidRPr="00F313AA" w:rsidRDefault="00AD2DE5" w:rsidP="008E579E">
            <w:pPr>
              <w:pStyle w:val="TableParagraph"/>
              <w:spacing w:line="206" w:lineRule="exact"/>
              <w:ind w:right="56"/>
              <w:rPr>
                <w:sz w:val="18"/>
                <w:szCs w:val="24"/>
              </w:rPr>
            </w:pPr>
            <w:r w:rsidRPr="00F313AA">
              <w:rPr>
                <w:sz w:val="18"/>
                <w:szCs w:val="24"/>
              </w:rPr>
              <w:t>246</w:t>
            </w:r>
          </w:p>
        </w:tc>
        <w:tc>
          <w:tcPr>
            <w:tcW w:w="1418" w:type="dxa"/>
          </w:tcPr>
          <w:p w14:paraId="4AF0721F" w14:textId="77777777" w:rsidR="00AD2DE5" w:rsidRPr="00F313AA" w:rsidRDefault="00AD2DE5" w:rsidP="008E579E">
            <w:pPr>
              <w:pStyle w:val="TableParagraph"/>
              <w:spacing w:line="206" w:lineRule="exact"/>
              <w:ind w:right="56"/>
              <w:rPr>
                <w:sz w:val="18"/>
                <w:szCs w:val="24"/>
              </w:rPr>
            </w:pPr>
            <w:r w:rsidRPr="00F313AA">
              <w:rPr>
                <w:sz w:val="18"/>
                <w:szCs w:val="24"/>
              </w:rPr>
              <w:t>496</w:t>
            </w:r>
          </w:p>
        </w:tc>
        <w:tc>
          <w:tcPr>
            <w:tcW w:w="2124" w:type="dxa"/>
          </w:tcPr>
          <w:p w14:paraId="0556E954" w14:textId="77777777" w:rsidR="00AD2DE5" w:rsidRPr="00F313AA" w:rsidRDefault="00AD2DE5" w:rsidP="008E579E">
            <w:pPr>
              <w:pStyle w:val="TableParagraph"/>
              <w:spacing w:line="206" w:lineRule="exact"/>
              <w:ind w:right="56"/>
              <w:rPr>
                <w:sz w:val="18"/>
                <w:szCs w:val="24"/>
              </w:rPr>
            </w:pPr>
            <w:r w:rsidRPr="00F313AA">
              <w:rPr>
                <w:sz w:val="18"/>
                <w:szCs w:val="24"/>
              </w:rPr>
              <w:t>$358,129,464,847</w:t>
            </w:r>
          </w:p>
        </w:tc>
      </w:tr>
      <w:tr w:rsidR="00AD2DE5" w:rsidRPr="00F313AA" w14:paraId="12752C40" w14:textId="77777777" w:rsidTr="009A64C1">
        <w:trPr>
          <w:trHeight w:val="239"/>
        </w:trPr>
        <w:tc>
          <w:tcPr>
            <w:tcW w:w="3257" w:type="dxa"/>
          </w:tcPr>
          <w:p w14:paraId="686301F5" w14:textId="77777777" w:rsidR="00AD2DE5" w:rsidRPr="00F313AA" w:rsidRDefault="00AD2DE5" w:rsidP="008E579E">
            <w:pPr>
              <w:pStyle w:val="TableParagraph"/>
              <w:spacing w:before="1"/>
              <w:ind w:left="71"/>
              <w:rPr>
                <w:sz w:val="18"/>
                <w:szCs w:val="24"/>
              </w:rPr>
            </w:pPr>
            <w:r w:rsidRPr="00F313AA">
              <w:rPr>
                <w:sz w:val="18"/>
                <w:szCs w:val="24"/>
              </w:rPr>
              <w:t>Oficial/gobierno</w:t>
            </w:r>
          </w:p>
        </w:tc>
        <w:tc>
          <w:tcPr>
            <w:tcW w:w="1982" w:type="dxa"/>
          </w:tcPr>
          <w:p w14:paraId="394F09B8" w14:textId="77777777" w:rsidR="00AD2DE5" w:rsidRPr="00F313AA" w:rsidRDefault="00AD2DE5" w:rsidP="008E579E">
            <w:pPr>
              <w:pStyle w:val="TableParagraph"/>
              <w:spacing w:before="1"/>
              <w:ind w:right="57"/>
              <w:rPr>
                <w:sz w:val="18"/>
                <w:szCs w:val="24"/>
              </w:rPr>
            </w:pPr>
            <w:r w:rsidRPr="00F313AA">
              <w:rPr>
                <w:w w:val="99"/>
                <w:sz w:val="18"/>
                <w:szCs w:val="24"/>
              </w:rPr>
              <w:t>9</w:t>
            </w:r>
          </w:p>
        </w:tc>
        <w:tc>
          <w:tcPr>
            <w:tcW w:w="1418" w:type="dxa"/>
          </w:tcPr>
          <w:p w14:paraId="28349908" w14:textId="77777777" w:rsidR="00AD2DE5" w:rsidRPr="00F313AA" w:rsidRDefault="00AD2DE5" w:rsidP="008E579E">
            <w:pPr>
              <w:pStyle w:val="TableParagraph"/>
              <w:spacing w:before="1"/>
              <w:ind w:right="56"/>
              <w:rPr>
                <w:sz w:val="18"/>
                <w:szCs w:val="24"/>
              </w:rPr>
            </w:pPr>
            <w:r w:rsidRPr="00F313AA">
              <w:rPr>
                <w:sz w:val="18"/>
                <w:szCs w:val="24"/>
              </w:rPr>
              <w:t>26</w:t>
            </w:r>
          </w:p>
        </w:tc>
        <w:tc>
          <w:tcPr>
            <w:tcW w:w="2124" w:type="dxa"/>
          </w:tcPr>
          <w:p w14:paraId="04DFA2CC" w14:textId="77777777" w:rsidR="00AD2DE5" w:rsidRPr="00F313AA" w:rsidRDefault="00AD2DE5" w:rsidP="008E579E">
            <w:pPr>
              <w:pStyle w:val="TableParagraph"/>
              <w:spacing w:before="1"/>
              <w:ind w:right="56"/>
              <w:rPr>
                <w:sz w:val="18"/>
                <w:szCs w:val="24"/>
              </w:rPr>
            </w:pPr>
            <w:r w:rsidRPr="00F313AA">
              <w:rPr>
                <w:sz w:val="18"/>
                <w:szCs w:val="24"/>
              </w:rPr>
              <w:t>$161,350,010,825</w:t>
            </w:r>
          </w:p>
        </w:tc>
      </w:tr>
      <w:tr w:rsidR="00AD2DE5" w:rsidRPr="00F313AA" w14:paraId="5072860F" w14:textId="77777777" w:rsidTr="009A64C1">
        <w:trPr>
          <w:trHeight w:val="237"/>
        </w:trPr>
        <w:tc>
          <w:tcPr>
            <w:tcW w:w="3257" w:type="dxa"/>
          </w:tcPr>
          <w:p w14:paraId="342F594F" w14:textId="77777777" w:rsidR="00AD2DE5" w:rsidRPr="00F313AA" w:rsidRDefault="00AD2DE5" w:rsidP="008E579E">
            <w:pPr>
              <w:pStyle w:val="TableParagraph"/>
              <w:spacing w:line="206" w:lineRule="exact"/>
              <w:ind w:left="71"/>
              <w:rPr>
                <w:sz w:val="18"/>
                <w:szCs w:val="24"/>
              </w:rPr>
            </w:pPr>
            <w:r w:rsidRPr="00F313AA">
              <w:rPr>
                <w:sz w:val="18"/>
                <w:szCs w:val="24"/>
              </w:rPr>
              <w:t>PYME</w:t>
            </w:r>
          </w:p>
        </w:tc>
        <w:tc>
          <w:tcPr>
            <w:tcW w:w="1982" w:type="dxa"/>
          </w:tcPr>
          <w:p w14:paraId="1781FF2C" w14:textId="77777777" w:rsidR="00AD2DE5" w:rsidRPr="00F313AA" w:rsidRDefault="00AD2DE5" w:rsidP="008E579E">
            <w:pPr>
              <w:pStyle w:val="TableParagraph"/>
              <w:spacing w:line="206" w:lineRule="exact"/>
              <w:ind w:right="58"/>
              <w:rPr>
                <w:sz w:val="18"/>
                <w:szCs w:val="24"/>
              </w:rPr>
            </w:pPr>
            <w:r w:rsidRPr="00F313AA">
              <w:rPr>
                <w:sz w:val="18"/>
                <w:szCs w:val="24"/>
              </w:rPr>
              <w:t>13,261</w:t>
            </w:r>
          </w:p>
        </w:tc>
        <w:tc>
          <w:tcPr>
            <w:tcW w:w="1418" w:type="dxa"/>
          </w:tcPr>
          <w:p w14:paraId="7126FBCB" w14:textId="77777777" w:rsidR="00AD2DE5" w:rsidRPr="00F313AA" w:rsidRDefault="00AD2DE5" w:rsidP="008E579E">
            <w:pPr>
              <w:pStyle w:val="TableParagraph"/>
              <w:spacing w:line="206" w:lineRule="exact"/>
              <w:ind w:right="57"/>
              <w:rPr>
                <w:sz w:val="18"/>
                <w:szCs w:val="24"/>
              </w:rPr>
            </w:pPr>
            <w:r w:rsidRPr="00F313AA">
              <w:rPr>
                <w:sz w:val="18"/>
                <w:szCs w:val="24"/>
              </w:rPr>
              <w:t>27,197</w:t>
            </w:r>
          </w:p>
        </w:tc>
        <w:tc>
          <w:tcPr>
            <w:tcW w:w="2124" w:type="dxa"/>
          </w:tcPr>
          <w:p w14:paraId="7F969F84" w14:textId="77777777" w:rsidR="00AD2DE5" w:rsidRPr="00F313AA" w:rsidRDefault="00AD2DE5" w:rsidP="008E579E">
            <w:pPr>
              <w:pStyle w:val="TableParagraph"/>
              <w:spacing w:line="206" w:lineRule="exact"/>
              <w:ind w:right="58"/>
              <w:rPr>
                <w:sz w:val="18"/>
                <w:szCs w:val="24"/>
              </w:rPr>
            </w:pPr>
            <w:r w:rsidRPr="00F313AA">
              <w:rPr>
                <w:sz w:val="18"/>
                <w:szCs w:val="24"/>
              </w:rPr>
              <w:t>$2,871,648,300,398</w:t>
            </w:r>
          </w:p>
        </w:tc>
      </w:tr>
      <w:tr w:rsidR="00AD2DE5" w:rsidRPr="00F313AA" w14:paraId="7E3F3AC3" w14:textId="77777777" w:rsidTr="009A64C1">
        <w:trPr>
          <w:trHeight w:val="237"/>
        </w:trPr>
        <w:tc>
          <w:tcPr>
            <w:tcW w:w="3257" w:type="dxa"/>
          </w:tcPr>
          <w:p w14:paraId="548DD812" w14:textId="77777777" w:rsidR="00AD2DE5" w:rsidRPr="00F313AA" w:rsidRDefault="00AD2DE5" w:rsidP="008E579E">
            <w:pPr>
              <w:pStyle w:val="TableParagraph"/>
              <w:spacing w:line="206" w:lineRule="exact"/>
              <w:ind w:left="71"/>
              <w:rPr>
                <w:sz w:val="18"/>
                <w:szCs w:val="24"/>
              </w:rPr>
            </w:pPr>
            <w:r w:rsidRPr="00F313AA">
              <w:rPr>
                <w:sz w:val="18"/>
                <w:szCs w:val="24"/>
              </w:rPr>
              <w:t>Rotativo</w:t>
            </w:r>
          </w:p>
        </w:tc>
        <w:tc>
          <w:tcPr>
            <w:tcW w:w="1982" w:type="dxa"/>
          </w:tcPr>
          <w:p w14:paraId="60A71696" w14:textId="77777777" w:rsidR="00AD2DE5" w:rsidRPr="00F313AA" w:rsidRDefault="00AD2DE5" w:rsidP="008E579E">
            <w:pPr>
              <w:pStyle w:val="TableParagraph"/>
              <w:spacing w:line="206" w:lineRule="exact"/>
              <w:ind w:right="58"/>
              <w:rPr>
                <w:sz w:val="18"/>
                <w:szCs w:val="24"/>
              </w:rPr>
            </w:pPr>
            <w:r w:rsidRPr="00F313AA">
              <w:rPr>
                <w:sz w:val="18"/>
                <w:szCs w:val="24"/>
              </w:rPr>
              <w:t>56,425</w:t>
            </w:r>
          </w:p>
        </w:tc>
        <w:tc>
          <w:tcPr>
            <w:tcW w:w="1418" w:type="dxa"/>
          </w:tcPr>
          <w:p w14:paraId="051A4F7D" w14:textId="77777777" w:rsidR="00AD2DE5" w:rsidRPr="00F313AA" w:rsidRDefault="00AD2DE5" w:rsidP="008E579E">
            <w:pPr>
              <w:pStyle w:val="TableParagraph"/>
              <w:spacing w:line="206" w:lineRule="exact"/>
              <w:ind w:right="57"/>
              <w:rPr>
                <w:sz w:val="18"/>
                <w:szCs w:val="24"/>
              </w:rPr>
            </w:pPr>
            <w:r w:rsidRPr="00F313AA">
              <w:rPr>
                <w:sz w:val="18"/>
                <w:szCs w:val="24"/>
              </w:rPr>
              <w:t>145,325</w:t>
            </w:r>
          </w:p>
        </w:tc>
        <w:tc>
          <w:tcPr>
            <w:tcW w:w="2124" w:type="dxa"/>
          </w:tcPr>
          <w:p w14:paraId="5D681D77" w14:textId="77777777" w:rsidR="00AD2DE5" w:rsidRPr="00F313AA" w:rsidRDefault="00AD2DE5" w:rsidP="008E579E">
            <w:pPr>
              <w:pStyle w:val="TableParagraph"/>
              <w:spacing w:line="206" w:lineRule="exact"/>
              <w:ind w:right="56"/>
              <w:rPr>
                <w:sz w:val="18"/>
                <w:szCs w:val="24"/>
              </w:rPr>
            </w:pPr>
            <w:r w:rsidRPr="00F313AA">
              <w:rPr>
                <w:sz w:val="18"/>
                <w:szCs w:val="24"/>
              </w:rPr>
              <w:t>$539,081,569,869</w:t>
            </w:r>
          </w:p>
        </w:tc>
      </w:tr>
      <w:tr w:rsidR="00AD2DE5" w:rsidRPr="00F313AA" w14:paraId="0E461EB6" w14:textId="77777777" w:rsidTr="009A64C1">
        <w:trPr>
          <w:trHeight w:val="239"/>
        </w:trPr>
        <w:tc>
          <w:tcPr>
            <w:tcW w:w="3257" w:type="dxa"/>
          </w:tcPr>
          <w:p w14:paraId="5ABE578E" w14:textId="77777777" w:rsidR="00AD2DE5" w:rsidRPr="00F313AA" w:rsidRDefault="00AD2DE5" w:rsidP="008E579E">
            <w:pPr>
              <w:pStyle w:val="TableParagraph"/>
              <w:spacing w:before="1"/>
              <w:ind w:left="71"/>
              <w:rPr>
                <w:sz w:val="18"/>
                <w:szCs w:val="24"/>
              </w:rPr>
            </w:pPr>
            <w:r w:rsidRPr="00F313AA">
              <w:rPr>
                <w:sz w:val="18"/>
                <w:szCs w:val="24"/>
              </w:rPr>
              <w:t>TDC</w:t>
            </w:r>
          </w:p>
        </w:tc>
        <w:tc>
          <w:tcPr>
            <w:tcW w:w="1982" w:type="dxa"/>
          </w:tcPr>
          <w:p w14:paraId="5331C138" w14:textId="77777777" w:rsidR="00AD2DE5" w:rsidRPr="00F313AA" w:rsidRDefault="00AD2DE5" w:rsidP="008E579E">
            <w:pPr>
              <w:pStyle w:val="TableParagraph"/>
              <w:spacing w:before="1"/>
              <w:ind w:right="56"/>
              <w:rPr>
                <w:sz w:val="18"/>
                <w:szCs w:val="24"/>
              </w:rPr>
            </w:pPr>
            <w:r w:rsidRPr="00F313AA">
              <w:rPr>
                <w:sz w:val="18"/>
                <w:szCs w:val="24"/>
              </w:rPr>
              <w:t>1,111,716</w:t>
            </w:r>
          </w:p>
        </w:tc>
        <w:tc>
          <w:tcPr>
            <w:tcW w:w="1418" w:type="dxa"/>
          </w:tcPr>
          <w:p w14:paraId="36CE6AFE" w14:textId="77777777" w:rsidR="00AD2DE5" w:rsidRPr="00F313AA" w:rsidRDefault="00AD2DE5" w:rsidP="008E579E">
            <w:pPr>
              <w:pStyle w:val="TableParagraph"/>
              <w:spacing w:before="1"/>
              <w:ind w:right="55"/>
              <w:rPr>
                <w:sz w:val="18"/>
                <w:szCs w:val="24"/>
              </w:rPr>
            </w:pPr>
            <w:r w:rsidRPr="00F313AA">
              <w:rPr>
                <w:sz w:val="18"/>
                <w:szCs w:val="24"/>
              </w:rPr>
              <w:t>1,252,435</w:t>
            </w:r>
          </w:p>
        </w:tc>
        <w:tc>
          <w:tcPr>
            <w:tcW w:w="2124" w:type="dxa"/>
          </w:tcPr>
          <w:p w14:paraId="27EB7076" w14:textId="77777777" w:rsidR="00AD2DE5" w:rsidRPr="00F313AA" w:rsidRDefault="00AD2DE5" w:rsidP="008E579E">
            <w:pPr>
              <w:pStyle w:val="TableParagraph"/>
              <w:spacing w:before="1"/>
              <w:ind w:right="58"/>
              <w:rPr>
                <w:sz w:val="18"/>
                <w:szCs w:val="24"/>
              </w:rPr>
            </w:pPr>
            <w:r w:rsidRPr="00F313AA">
              <w:rPr>
                <w:sz w:val="18"/>
                <w:szCs w:val="24"/>
              </w:rPr>
              <w:t>$4,821,667,504,643</w:t>
            </w:r>
          </w:p>
        </w:tc>
      </w:tr>
    </w:tbl>
    <w:tbl>
      <w:tblPr>
        <w:tblStyle w:val="TableNormal"/>
        <w:tblW w:w="8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982"/>
        <w:gridCol w:w="1418"/>
        <w:gridCol w:w="2124"/>
      </w:tblGrid>
      <w:tr w:rsidR="00AD2DE5" w:rsidRPr="00F313AA" w14:paraId="6F2838EA" w14:textId="77777777" w:rsidTr="008E579E">
        <w:trPr>
          <w:trHeight w:val="237"/>
        </w:trPr>
        <w:tc>
          <w:tcPr>
            <w:tcW w:w="3257" w:type="dxa"/>
            <w:tcBorders>
              <w:top w:val="nil"/>
            </w:tcBorders>
          </w:tcPr>
          <w:p w14:paraId="24A16885" w14:textId="77777777" w:rsidR="00AD2DE5" w:rsidRPr="00F313AA" w:rsidRDefault="00AD2DE5" w:rsidP="008E579E">
            <w:pPr>
              <w:pStyle w:val="TableParagraph"/>
              <w:spacing w:line="207" w:lineRule="exact"/>
              <w:ind w:left="71"/>
              <w:rPr>
                <w:sz w:val="18"/>
                <w:szCs w:val="18"/>
              </w:rPr>
            </w:pPr>
            <w:r w:rsidRPr="00F313AA">
              <w:rPr>
                <w:sz w:val="18"/>
                <w:szCs w:val="18"/>
              </w:rPr>
              <w:t>Libranza</w:t>
            </w:r>
          </w:p>
        </w:tc>
        <w:tc>
          <w:tcPr>
            <w:tcW w:w="1982" w:type="dxa"/>
            <w:tcBorders>
              <w:top w:val="nil"/>
            </w:tcBorders>
          </w:tcPr>
          <w:p w14:paraId="5F3388F6" w14:textId="77777777" w:rsidR="00AD2DE5" w:rsidRPr="00F313AA" w:rsidRDefault="00AD2DE5" w:rsidP="008E579E">
            <w:pPr>
              <w:pStyle w:val="TableParagraph"/>
              <w:spacing w:line="207" w:lineRule="exact"/>
              <w:ind w:right="58"/>
              <w:rPr>
                <w:sz w:val="18"/>
                <w:szCs w:val="18"/>
              </w:rPr>
            </w:pPr>
            <w:r w:rsidRPr="00F313AA">
              <w:rPr>
                <w:sz w:val="18"/>
                <w:szCs w:val="18"/>
              </w:rPr>
              <w:t>22,030</w:t>
            </w:r>
          </w:p>
        </w:tc>
        <w:tc>
          <w:tcPr>
            <w:tcW w:w="1418" w:type="dxa"/>
            <w:tcBorders>
              <w:top w:val="nil"/>
            </w:tcBorders>
          </w:tcPr>
          <w:p w14:paraId="571A2C9E" w14:textId="77777777" w:rsidR="00AD2DE5" w:rsidRPr="00F313AA" w:rsidRDefault="00AD2DE5" w:rsidP="008E579E">
            <w:pPr>
              <w:pStyle w:val="TableParagraph"/>
              <w:spacing w:line="207" w:lineRule="exact"/>
              <w:ind w:right="57"/>
              <w:rPr>
                <w:sz w:val="18"/>
                <w:szCs w:val="18"/>
              </w:rPr>
            </w:pPr>
            <w:r w:rsidRPr="00F313AA">
              <w:rPr>
                <w:sz w:val="18"/>
                <w:szCs w:val="18"/>
              </w:rPr>
              <w:t>23,616</w:t>
            </w:r>
          </w:p>
        </w:tc>
        <w:tc>
          <w:tcPr>
            <w:tcW w:w="2124" w:type="dxa"/>
            <w:tcBorders>
              <w:top w:val="nil"/>
            </w:tcBorders>
          </w:tcPr>
          <w:p w14:paraId="222E8EC7" w14:textId="77777777" w:rsidR="00AD2DE5" w:rsidRPr="00F313AA" w:rsidRDefault="00AD2DE5" w:rsidP="008E579E">
            <w:pPr>
              <w:pStyle w:val="TableParagraph"/>
              <w:spacing w:line="207" w:lineRule="exact"/>
              <w:ind w:right="56"/>
              <w:rPr>
                <w:sz w:val="18"/>
                <w:szCs w:val="18"/>
              </w:rPr>
            </w:pPr>
            <w:r w:rsidRPr="00F313AA">
              <w:rPr>
                <w:sz w:val="18"/>
                <w:szCs w:val="18"/>
              </w:rPr>
              <w:t>$531,041,443,423</w:t>
            </w:r>
          </w:p>
        </w:tc>
      </w:tr>
      <w:tr w:rsidR="00AD2DE5" w:rsidRPr="00F313AA" w14:paraId="13BEBB3C" w14:textId="77777777" w:rsidTr="008E579E">
        <w:trPr>
          <w:trHeight w:val="237"/>
        </w:trPr>
        <w:tc>
          <w:tcPr>
            <w:tcW w:w="3257" w:type="dxa"/>
          </w:tcPr>
          <w:p w14:paraId="751C53ED" w14:textId="77777777" w:rsidR="00AD2DE5" w:rsidRPr="00F313AA" w:rsidRDefault="00AD2DE5" w:rsidP="008E579E">
            <w:pPr>
              <w:pStyle w:val="TableParagraph"/>
              <w:spacing w:line="206" w:lineRule="exact"/>
              <w:ind w:left="71"/>
              <w:rPr>
                <w:sz w:val="18"/>
                <w:szCs w:val="18"/>
              </w:rPr>
            </w:pPr>
            <w:r w:rsidRPr="00F313AA">
              <w:rPr>
                <w:sz w:val="18"/>
                <w:szCs w:val="18"/>
              </w:rPr>
              <w:t>Libre</w:t>
            </w:r>
            <w:r w:rsidRPr="00F313AA">
              <w:rPr>
                <w:spacing w:val="-4"/>
                <w:sz w:val="18"/>
                <w:szCs w:val="18"/>
              </w:rPr>
              <w:t xml:space="preserve"> </w:t>
            </w:r>
            <w:r w:rsidRPr="00F313AA">
              <w:rPr>
                <w:sz w:val="18"/>
                <w:szCs w:val="18"/>
              </w:rPr>
              <w:t>inversión</w:t>
            </w:r>
          </w:p>
        </w:tc>
        <w:tc>
          <w:tcPr>
            <w:tcW w:w="1982" w:type="dxa"/>
          </w:tcPr>
          <w:p w14:paraId="5ACCB317" w14:textId="77777777" w:rsidR="00AD2DE5" w:rsidRPr="00F313AA" w:rsidRDefault="00AD2DE5" w:rsidP="008E579E">
            <w:pPr>
              <w:pStyle w:val="TableParagraph"/>
              <w:spacing w:line="206" w:lineRule="exact"/>
              <w:ind w:right="58"/>
              <w:rPr>
                <w:sz w:val="18"/>
                <w:szCs w:val="18"/>
              </w:rPr>
            </w:pPr>
            <w:r w:rsidRPr="00F313AA">
              <w:rPr>
                <w:sz w:val="18"/>
                <w:szCs w:val="18"/>
              </w:rPr>
              <w:t>366,108</w:t>
            </w:r>
          </w:p>
        </w:tc>
        <w:tc>
          <w:tcPr>
            <w:tcW w:w="1418" w:type="dxa"/>
          </w:tcPr>
          <w:p w14:paraId="79FF6D44" w14:textId="77777777" w:rsidR="00AD2DE5" w:rsidRPr="00F313AA" w:rsidRDefault="00AD2DE5" w:rsidP="008E579E">
            <w:pPr>
              <w:pStyle w:val="TableParagraph"/>
              <w:spacing w:line="206" w:lineRule="exact"/>
              <w:ind w:right="57"/>
              <w:rPr>
                <w:sz w:val="18"/>
                <w:szCs w:val="18"/>
              </w:rPr>
            </w:pPr>
            <w:r w:rsidRPr="00F313AA">
              <w:rPr>
                <w:sz w:val="18"/>
                <w:szCs w:val="18"/>
              </w:rPr>
              <w:t>409,184</w:t>
            </w:r>
          </w:p>
        </w:tc>
        <w:tc>
          <w:tcPr>
            <w:tcW w:w="2124" w:type="dxa"/>
          </w:tcPr>
          <w:p w14:paraId="570FC9D4" w14:textId="77777777" w:rsidR="00AD2DE5" w:rsidRPr="00F313AA" w:rsidRDefault="00AD2DE5" w:rsidP="008E579E">
            <w:pPr>
              <w:pStyle w:val="TableParagraph"/>
              <w:spacing w:line="206" w:lineRule="exact"/>
              <w:ind w:right="58"/>
              <w:rPr>
                <w:sz w:val="18"/>
                <w:szCs w:val="18"/>
              </w:rPr>
            </w:pPr>
            <w:r w:rsidRPr="00F313AA">
              <w:rPr>
                <w:sz w:val="18"/>
                <w:szCs w:val="18"/>
              </w:rPr>
              <w:t>$8,113,492,780,894</w:t>
            </w:r>
          </w:p>
        </w:tc>
      </w:tr>
      <w:tr w:rsidR="00AD2DE5" w:rsidRPr="00F313AA" w14:paraId="5BAA1C90" w14:textId="77777777" w:rsidTr="008E579E">
        <w:trPr>
          <w:trHeight w:val="237"/>
        </w:trPr>
        <w:tc>
          <w:tcPr>
            <w:tcW w:w="3257" w:type="dxa"/>
          </w:tcPr>
          <w:p w14:paraId="1721B1E2" w14:textId="77777777" w:rsidR="00AD2DE5" w:rsidRPr="00F313AA" w:rsidRDefault="00AD2DE5" w:rsidP="008E579E">
            <w:pPr>
              <w:pStyle w:val="TableParagraph"/>
              <w:spacing w:line="206" w:lineRule="exact"/>
              <w:ind w:left="71"/>
              <w:rPr>
                <w:sz w:val="18"/>
                <w:szCs w:val="18"/>
              </w:rPr>
            </w:pPr>
            <w:r w:rsidRPr="00F313AA">
              <w:rPr>
                <w:sz w:val="18"/>
                <w:szCs w:val="18"/>
              </w:rPr>
              <w:t>Vehículo</w:t>
            </w:r>
          </w:p>
        </w:tc>
        <w:tc>
          <w:tcPr>
            <w:tcW w:w="1982" w:type="dxa"/>
          </w:tcPr>
          <w:p w14:paraId="02B1F0B7" w14:textId="77777777" w:rsidR="00AD2DE5" w:rsidRPr="00F313AA" w:rsidRDefault="00AD2DE5" w:rsidP="008E579E">
            <w:pPr>
              <w:pStyle w:val="TableParagraph"/>
              <w:spacing w:line="206" w:lineRule="exact"/>
              <w:ind w:right="58"/>
              <w:rPr>
                <w:sz w:val="18"/>
                <w:szCs w:val="18"/>
              </w:rPr>
            </w:pPr>
            <w:r w:rsidRPr="00F313AA">
              <w:rPr>
                <w:sz w:val="18"/>
                <w:szCs w:val="18"/>
              </w:rPr>
              <w:t>24,956</w:t>
            </w:r>
          </w:p>
        </w:tc>
        <w:tc>
          <w:tcPr>
            <w:tcW w:w="1418" w:type="dxa"/>
          </w:tcPr>
          <w:p w14:paraId="7F6C4623" w14:textId="77777777" w:rsidR="00AD2DE5" w:rsidRPr="00F313AA" w:rsidRDefault="00AD2DE5" w:rsidP="008E579E">
            <w:pPr>
              <w:pStyle w:val="TableParagraph"/>
              <w:spacing w:line="206" w:lineRule="exact"/>
              <w:ind w:right="57"/>
              <w:rPr>
                <w:sz w:val="18"/>
                <w:szCs w:val="18"/>
              </w:rPr>
            </w:pPr>
            <w:r w:rsidRPr="00F313AA">
              <w:rPr>
                <w:sz w:val="18"/>
                <w:szCs w:val="18"/>
              </w:rPr>
              <w:t>25,326</w:t>
            </w:r>
          </w:p>
        </w:tc>
        <w:tc>
          <w:tcPr>
            <w:tcW w:w="2124" w:type="dxa"/>
          </w:tcPr>
          <w:p w14:paraId="77CBAC9E" w14:textId="77777777" w:rsidR="00AD2DE5" w:rsidRPr="00F313AA" w:rsidRDefault="00AD2DE5" w:rsidP="008E579E">
            <w:pPr>
              <w:pStyle w:val="TableParagraph"/>
              <w:spacing w:line="206" w:lineRule="exact"/>
              <w:ind w:right="56"/>
              <w:rPr>
                <w:sz w:val="18"/>
                <w:szCs w:val="18"/>
              </w:rPr>
            </w:pPr>
            <w:r w:rsidRPr="00F313AA">
              <w:rPr>
                <w:sz w:val="18"/>
                <w:szCs w:val="18"/>
              </w:rPr>
              <w:t>$778,939,600,866</w:t>
            </w:r>
          </w:p>
        </w:tc>
      </w:tr>
      <w:tr w:rsidR="00AD2DE5" w:rsidRPr="00F313AA" w14:paraId="623CEE39" w14:textId="77777777" w:rsidTr="008E579E">
        <w:trPr>
          <w:trHeight w:val="239"/>
        </w:trPr>
        <w:tc>
          <w:tcPr>
            <w:tcW w:w="3257" w:type="dxa"/>
          </w:tcPr>
          <w:p w14:paraId="2816A132" w14:textId="77777777" w:rsidR="00AD2DE5" w:rsidRPr="00F313AA" w:rsidRDefault="00AD2DE5" w:rsidP="008E579E">
            <w:pPr>
              <w:pStyle w:val="TableParagraph"/>
              <w:spacing w:before="1"/>
              <w:ind w:left="71"/>
              <w:rPr>
                <w:sz w:val="18"/>
                <w:szCs w:val="18"/>
              </w:rPr>
            </w:pPr>
            <w:r w:rsidRPr="00F313AA">
              <w:rPr>
                <w:sz w:val="18"/>
                <w:szCs w:val="18"/>
              </w:rPr>
              <w:t>Bajo</w:t>
            </w:r>
            <w:r w:rsidRPr="00F313AA">
              <w:rPr>
                <w:spacing w:val="-3"/>
                <w:sz w:val="18"/>
                <w:szCs w:val="18"/>
              </w:rPr>
              <w:t xml:space="preserve"> </w:t>
            </w:r>
            <w:r w:rsidRPr="00F313AA">
              <w:rPr>
                <w:sz w:val="18"/>
                <w:szCs w:val="18"/>
              </w:rPr>
              <w:t>monto</w:t>
            </w:r>
          </w:p>
        </w:tc>
        <w:tc>
          <w:tcPr>
            <w:tcW w:w="1982" w:type="dxa"/>
          </w:tcPr>
          <w:p w14:paraId="0732CFB0" w14:textId="77777777" w:rsidR="00AD2DE5" w:rsidRPr="00F313AA" w:rsidRDefault="00AD2DE5" w:rsidP="008E579E">
            <w:pPr>
              <w:pStyle w:val="TableParagraph"/>
              <w:spacing w:before="1"/>
              <w:ind w:right="55"/>
              <w:rPr>
                <w:sz w:val="18"/>
                <w:szCs w:val="18"/>
              </w:rPr>
            </w:pPr>
            <w:r w:rsidRPr="00F313AA">
              <w:rPr>
                <w:sz w:val="18"/>
                <w:szCs w:val="18"/>
              </w:rPr>
              <w:t>7,112</w:t>
            </w:r>
          </w:p>
        </w:tc>
        <w:tc>
          <w:tcPr>
            <w:tcW w:w="1418" w:type="dxa"/>
          </w:tcPr>
          <w:p w14:paraId="43564238" w14:textId="77777777" w:rsidR="00AD2DE5" w:rsidRPr="00F313AA" w:rsidRDefault="00AD2DE5" w:rsidP="008E579E">
            <w:pPr>
              <w:pStyle w:val="TableParagraph"/>
              <w:spacing w:before="1"/>
              <w:ind w:right="55"/>
              <w:rPr>
                <w:sz w:val="18"/>
                <w:szCs w:val="18"/>
              </w:rPr>
            </w:pPr>
            <w:r w:rsidRPr="00F313AA">
              <w:rPr>
                <w:sz w:val="18"/>
                <w:szCs w:val="18"/>
              </w:rPr>
              <w:t>7,309</w:t>
            </w:r>
          </w:p>
        </w:tc>
        <w:tc>
          <w:tcPr>
            <w:tcW w:w="2124" w:type="dxa"/>
          </w:tcPr>
          <w:p w14:paraId="5F37296C" w14:textId="77777777" w:rsidR="00AD2DE5" w:rsidRPr="00F313AA" w:rsidRDefault="00AD2DE5" w:rsidP="008E579E">
            <w:pPr>
              <w:pStyle w:val="TableParagraph"/>
              <w:spacing w:before="1"/>
              <w:ind w:right="57"/>
              <w:rPr>
                <w:sz w:val="18"/>
                <w:szCs w:val="18"/>
              </w:rPr>
            </w:pPr>
            <w:r w:rsidRPr="00F313AA">
              <w:rPr>
                <w:sz w:val="18"/>
                <w:szCs w:val="18"/>
              </w:rPr>
              <w:t>$3,762,264,867</w:t>
            </w:r>
          </w:p>
        </w:tc>
      </w:tr>
      <w:tr w:rsidR="00AD2DE5" w:rsidRPr="00F313AA" w14:paraId="4350D67B" w14:textId="77777777" w:rsidTr="008E579E">
        <w:trPr>
          <w:trHeight w:val="237"/>
        </w:trPr>
        <w:tc>
          <w:tcPr>
            <w:tcW w:w="3257" w:type="dxa"/>
          </w:tcPr>
          <w:p w14:paraId="568BE051" w14:textId="77777777" w:rsidR="00AD2DE5" w:rsidRPr="00F313AA" w:rsidRDefault="00AD2DE5" w:rsidP="008E579E">
            <w:pPr>
              <w:pStyle w:val="TableParagraph"/>
              <w:spacing w:line="206" w:lineRule="exact"/>
              <w:ind w:left="71"/>
              <w:rPr>
                <w:sz w:val="18"/>
                <w:szCs w:val="18"/>
              </w:rPr>
            </w:pPr>
            <w:r w:rsidRPr="00F313AA">
              <w:rPr>
                <w:sz w:val="18"/>
                <w:szCs w:val="18"/>
              </w:rPr>
              <w:t>Otros</w:t>
            </w:r>
            <w:r w:rsidRPr="00F313AA">
              <w:rPr>
                <w:spacing w:val="-1"/>
                <w:sz w:val="18"/>
                <w:szCs w:val="18"/>
              </w:rPr>
              <w:t xml:space="preserve"> </w:t>
            </w:r>
            <w:r w:rsidRPr="00F313AA">
              <w:rPr>
                <w:sz w:val="18"/>
                <w:szCs w:val="18"/>
              </w:rPr>
              <w:t>consumo</w:t>
            </w:r>
          </w:p>
        </w:tc>
        <w:tc>
          <w:tcPr>
            <w:tcW w:w="1982" w:type="dxa"/>
          </w:tcPr>
          <w:p w14:paraId="4F295493" w14:textId="77777777" w:rsidR="00AD2DE5" w:rsidRPr="00F313AA" w:rsidRDefault="00AD2DE5" w:rsidP="008E579E">
            <w:pPr>
              <w:pStyle w:val="TableParagraph"/>
              <w:spacing w:line="206" w:lineRule="exact"/>
              <w:ind w:right="58"/>
              <w:rPr>
                <w:sz w:val="18"/>
                <w:szCs w:val="18"/>
              </w:rPr>
            </w:pPr>
            <w:r w:rsidRPr="00F313AA">
              <w:rPr>
                <w:sz w:val="18"/>
                <w:szCs w:val="18"/>
              </w:rPr>
              <w:t>24,480</w:t>
            </w:r>
          </w:p>
        </w:tc>
        <w:tc>
          <w:tcPr>
            <w:tcW w:w="1418" w:type="dxa"/>
          </w:tcPr>
          <w:p w14:paraId="7F9E5A60" w14:textId="77777777" w:rsidR="00AD2DE5" w:rsidRPr="00F313AA" w:rsidRDefault="00AD2DE5" w:rsidP="008E579E">
            <w:pPr>
              <w:pStyle w:val="TableParagraph"/>
              <w:spacing w:line="206" w:lineRule="exact"/>
              <w:ind w:right="57"/>
              <w:rPr>
                <w:sz w:val="18"/>
                <w:szCs w:val="18"/>
              </w:rPr>
            </w:pPr>
            <w:r w:rsidRPr="00F313AA">
              <w:rPr>
                <w:sz w:val="18"/>
                <w:szCs w:val="18"/>
              </w:rPr>
              <w:t>31,717</w:t>
            </w:r>
          </w:p>
        </w:tc>
        <w:tc>
          <w:tcPr>
            <w:tcW w:w="2124" w:type="dxa"/>
          </w:tcPr>
          <w:p w14:paraId="78FDFFF2" w14:textId="77777777" w:rsidR="00AD2DE5" w:rsidRPr="00F313AA" w:rsidRDefault="00AD2DE5" w:rsidP="008E579E">
            <w:pPr>
              <w:pStyle w:val="TableParagraph"/>
              <w:spacing w:line="206" w:lineRule="exact"/>
              <w:ind w:right="56"/>
              <w:rPr>
                <w:sz w:val="18"/>
                <w:szCs w:val="18"/>
              </w:rPr>
            </w:pPr>
            <w:r w:rsidRPr="00F313AA">
              <w:rPr>
                <w:sz w:val="18"/>
                <w:szCs w:val="18"/>
              </w:rPr>
              <w:t>$246,898,120,324</w:t>
            </w:r>
          </w:p>
        </w:tc>
      </w:tr>
      <w:tr w:rsidR="00AD2DE5" w:rsidRPr="00F313AA" w14:paraId="0B52C5EC" w14:textId="77777777" w:rsidTr="008E579E">
        <w:trPr>
          <w:trHeight w:val="237"/>
        </w:trPr>
        <w:tc>
          <w:tcPr>
            <w:tcW w:w="3257" w:type="dxa"/>
          </w:tcPr>
          <w:p w14:paraId="0F41185C" w14:textId="77777777" w:rsidR="00AD2DE5" w:rsidRPr="00F313AA" w:rsidRDefault="00AD2DE5" w:rsidP="008E579E">
            <w:pPr>
              <w:pStyle w:val="TableParagraph"/>
              <w:spacing w:line="206" w:lineRule="exact"/>
              <w:ind w:left="71"/>
              <w:rPr>
                <w:sz w:val="18"/>
                <w:szCs w:val="18"/>
              </w:rPr>
            </w:pPr>
            <w:r w:rsidRPr="00F313AA">
              <w:rPr>
                <w:sz w:val="18"/>
                <w:szCs w:val="18"/>
              </w:rPr>
              <w:t>Micro</w:t>
            </w:r>
            <w:r w:rsidRPr="00F313AA">
              <w:rPr>
                <w:spacing w:val="-2"/>
                <w:sz w:val="18"/>
                <w:szCs w:val="18"/>
              </w:rPr>
              <w:t xml:space="preserve"> </w:t>
            </w:r>
            <w:r w:rsidRPr="00F313AA">
              <w:rPr>
                <w:sz w:val="18"/>
                <w:szCs w:val="18"/>
              </w:rPr>
              <w:t>hasta</w:t>
            </w:r>
            <w:r w:rsidRPr="00F313AA">
              <w:rPr>
                <w:spacing w:val="-3"/>
                <w:sz w:val="18"/>
                <w:szCs w:val="18"/>
              </w:rPr>
              <w:t xml:space="preserve"> </w:t>
            </w:r>
            <w:r w:rsidRPr="00F313AA">
              <w:rPr>
                <w:sz w:val="18"/>
                <w:szCs w:val="18"/>
              </w:rPr>
              <w:t>25</w:t>
            </w:r>
            <w:r w:rsidRPr="00F313AA">
              <w:rPr>
                <w:spacing w:val="-2"/>
                <w:sz w:val="18"/>
                <w:szCs w:val="18"/>
              </w:rPr>
              <w:t xml:space="preserve"> </w:t>
            </w:r>
            <w:r w:rsidRPr="00F313AA">
              <w:rPr>
                <w:sz w:val="18"/>
                <w:szCs w:val="18"/>
              </w:rPr>
              <w:t>SMMLV</w:t>
            </w:r>
          </w:p>
        </w:tc>
        <w:tc>
          <w:tcPr>
            <w:tcW w:w="1982" w:type="dxa"/>
          </w:tcPr>
          <w:p w14:paraId="4F503592" w14:textId="77777777" w:rsidR="00AD2DE5" w:rsidRPr="00F313AA" w:rsidRDefault="00AD2DE5" w:rsidP="008E579E">
            <w:pPr>
              <w:pStyle w:val="TableParagraph"/>
              <w:spacing w:line="206" w:lineRule="exact"/>
              <w:ind w:right="58"/>
              <w:rPr>
                <w:sz w:val="18"/>
                <w:szCs w:val="18"/>
              </w:rPr>
            </w:pPr>
            <w:r w:rsidRPr="00F313AA">
              <w:rPr>
                <w:sz w:val="18"/>
                <w:szCs w:val="18"/>
              </w:rPr>
              <w:t>146,182</w:t>
            </w:r>
          </w:p>
        </w:tc>
        <w:tc>
          <w:tcPr>
            <w:tcW w:w="1418" w:type="dxa"/>
          </w:tcPr>
          <w:p w14:paraId="53240C10" w14:textId="77777777" w:rsidR="00AD2DE5" w:rsidRPr="00F313AA" w:rsidRDefault="00AD2DE5" w:rsidP="008E579E">
            <w:pPr>
              <w:pStyle w:val="TableParagraph"/>
              <w:spacing w:line="206" w:lineRule="exact"/>
              <w:ind w:right="57"/>
              <w:rPr>
                <w:sz w:val="18"/>
                <w:szCs w:val="18"/>
              </w:rPr>
            </w:pPr>
            <w:r w:rsidRPr="00F313AA">
              <w:rPr>
                <w:sz w:val="18"/>
                <w:szCs w:val="18"/>
              </w:rPr>
              <w:t>147,476</w:t>
            </w:r>
          </w:p>
        </w:tc>
        <w:tc>
          <w:tcPr>
            <w:tcW w:w="2124" w:type="dxa"/>
          </w:tcPr>
          <w:p w14:paraId="28EF9C7A" w14:textId="77777777" w:rsidR="00AD2DE5" w:rsidRPr="00F313AA" w:rsidRDefault="00AD2DE5" w:rsidP="008E579E">
            <w:pPr>
              <w:pStyle w:val="TableParagraph"/>
              <w:spacing w:line="206" w:lineRule="exact"/>
              <w:ind w:right="56"/>
              <w:rPr>
                <w:sz w:val="18"/>
                <w:szCs w:val="18"/>
              </w:rPr>
            </w:pPr>
            <w:r w:rsidRPr="00F313AA">
              <w:rPr>
                <w:sz w:val="18"/>
                <w:szCs w:val="18"/>
              </w:rPr>
              <w:t>$617,731,791,702</w:t>
            </w:r>
          </w:p>
        </w:tc>
      </w:tr>
      <w:tr w:rsidR="00AD2DE5" w:rsidRPr="00F313AA" w14:paraId="17116968" w14:textId="77777777" w:rsidTr="008E579E">
        <w:trPr>
          <w:trHeight w:val="239"/>
        </w:trPr>
        <w:tc>
          <w:tcPr>
            <w:tcW w:w="3257" w:type="dxa"/>
          </w:tcPr>
          <w:p w14:paraId="017F9ACC" w14:textId="77777777" w:rsidR="00AD2DE5" w:rsidRPr="00F313AA" w:rsidRDefault="00AD2DE5" w:rsidP="008E579E">
            <w:pPr>
              <w:pStyle w:val="TableParagraph"/>
              <w:spacing w:before="1"/>
              <w:ind w:left="71"/>
              <w:rPr>
                <w:sz w:val="18"/>
                <w:szCs w:val="18"/>
              </w:rPr>
            </w:pPr>
            <w:r w:rsidRPr="00F313AA">
              <w:rPr>
                <w:sz w:val="18"/>
                <w:szCs w:val="18"/>
              </w:rPr>
              <w:t>Micro</w:t>
            </w:r>
            <w:r w:rsidRPr="00F313AA">
              <w:rPr>
                <w:spacing w:val="-2"/>
                <w:sz w:val="18"/>
                <w:szCs w:val="18"/>
              </w:rPr>
              <w:t xml:space="preserve"> </w:t>
            </w:r>
            <w:r w:rsidRPr="00F313AA">
              <w:rPr>
                <w:sz w:val="18"/>
                <w:szCs w:val="18"/>
              </w:rPr>
              <w:t>entre</w:t>
            </w:r>
            <w:r w:rsidRPr="00F313AA">
              <w:rPr>
                <w:spacing w:val="-1"/>
                <w:sz w:val="18"/>
                <w:szCs w:val="18"/>
              </w:rPr>
              <w:t xml:space="preserve"> </w:t>
            </w:r>
            <w:r w:rsidRPr="00F313AA">
              <w:rPr>
                <w:sz w:val="18"/>
                <w:szCs w:val="18"/>
              </w:rPr>
              <w:t>a</w:t>
            </w:r>
            <w:r w:rsidRPr="00F313AA">
              <w:rPr>
                <w:spacing w:val="-3"/>
                <w:sz w:val="18"/>
                <w:szCs w:val="18"/>
              </w:rPr>
              <w:t xml:space="preserve"> </w:t>
            </w:r>
            <w:r w:rsidRPr="00F313AA">
              <w:rPr>
                <w:sz w:val="18"/>
                <w:szCs w:val="18"/>
              </w:rPr>
              <w:t>25</w:t>
            </w:r>
            <w:r w:rsidRPr="00F313AA">
              <w:rPr>
                <w:spacing w:val="-2"/>
                <w:sz w:val="18"/>
                <w:szCs w:val="18"/>
              </w:rPr>
              <w:t xml:space="preserve"> </w:t>
            </w:r>
            <w:r w:rsidRPr="00F313AA">
              <w:rPr>
                <w:sz w:val="18"/>
                <w:szCs w:val="18"/>
              </w:rPr>
              <w:t>y</w:t>
            </w:r>
            <w:r w:rsidRPr="00F313AA">
              <w:rPr>
                <w:spacing w:val="48"/>
                <w:sz w:val="18"/>
                <w:szCs w:val="18"/>
              </w:rPr>
              <w:t xml:space="preserve"> </w:t>
            </w:r>
            <w:r w:rsidRPr="00F313AA">
              <w:rPr>
                <w:sz w:val="18"/>
                <w:szCs w:val="18"/>
              </w:rPr>
              <w:t>120</w:t>
            </w:r>
            <w:r w:rsidRPr="00F313AA">
              <w:rPr>
                <w:spacing w:val="-1"/>
                <w:sz w:val="18"/>
                <w:szCs w:val="18"/>
              </w:rPr>
              <w:t xml:space="preserve"> </w:t>
            </w:r>
            <w:r w:rsidRPr="00F313AA">
              <w:rPr>
                <w:sz w:val="18"/>
                <w:szCs w:val="18"/>
              </w:rPr>
              <w:t>SMMLV</w:t>
            </w:r>
          </w:p>
        </w:tc>
        <w:tc>
          <w:tcPr>
            <w:tcW w:w="1982" w:type="dxa"/>
          </w:tcPr>
          <w:p w14:paraId="17623018" w14:textId="77777777" w:rsidR="00AD2DE5" w:rsidRPr="00F313AA" w:rsidRDefault="00AD2DE5" w:rsidP="008E579E">
            <w:pPr>
              <w:pStyle w:val="TableParagraph"/>
              <w:spacing w:before="1"/>
              <w:ind w:right="58"/>
              <w:rPr>
                <w:sz w:val="18"/>
                <w:szCs w:val="18"/>
              </w:rPr>
            </w:pPr>
            <w:r w:rsidRPr="00F313AA">
              <w:rPr>
                <w:sz w:val="18"/>
                <w:szCs w:val="18"/>
              </w:rPr>
              <w:t>22,516</w:t>
            </w:r>
          </w:p>
        </w:tc>
        <w:tc>
          <w:tcPr>
            <w:tcW w:w="1418" w:type="dxa"/>
          </w:tcPr>
          <w:p w14:paraId="2CDBD419" w14:textId="77777777" w:rsidR="00AD2DE5" w:rsidRPr="00F313AA" w:rsidRDefault="00AD2DE5" w:rsidP="008E579E">
            <w:pPr>
              <w:pStyle w:val="TableParagraph"/>
              <w:spacing w:before="1"/>
              <w:ind w:right="57"/>
              <w:rPr>
                <w:sz w:val="18"/>
                <w:szCs w:val="18"/>
              </w:rPr>
            </w:pPr>
            <w:r w:rsidRPr="00F313AA">
              <w:rPr>
                <w:sz w:val="18"/>
                <w:szCs w:val="18"/>
              </w:rPr>
              <w:t>25,794</w:t>
            </w:r>
          </w:p>
        </w:tc>
        <w:tc>
          <w:tcPr>
            <w:tcW w:w="2124" w:type="dxa"/>
          </w:tcPr>
          <w:p w14:paraId="08649E16" w14:textId="77777777" w:rsidR="00AD2DE5" w:rsidRPr="00F313AA" w:rsidRDefault="00AD2DE5" w:rsidP="008E579E">
            <w:pPr>
              <w:pStyle w:val="TableParagraph"/>
              <w:spacing w:before="1"/>
              <w:ind w:right="56"/>
              <w:rPr>
                <w:sz w:val="18"/>
                <w:szCs w:val="18"/>
              </w:rPr>
            </w:pPr>
            <w:r w:rsidRPr="00F313AA">
              <w:rPr>
                <w:sz w:val="18"/>
                <w:szCs w:val="18"/>
              </w:rPr>
              <w:t>$369,151,225,790</w:t>
            </w:r>
          </w:p>
        </w:tc>
      </w:tr>
      <w:tr w:rsidR="00AD2DE5" w:rsidRPr="00F313AA" w14:paraId="47880D7E" w14:textId="77777777" w:rsidTr="008E579E">
        <w:trPr>
          <w:trHeight w:val="237"/>
        </w:trPr>
        <w:tc>
          <w:tcPr>
            <w:tcW w:w="3257" w:type="dxa"/>
          </w:tcPr>
          <w:p w14:paraId="1205677B" w14:textId="77777777" w:rsidR="00AD2DE5" w:rsidRPr="00F313AA" w:rsidRDefault="00AD2DE5" w:rsidP="008E579E">
            <w:pPr>
              <w:pStyle w:val="TableParagraph"/>
              <w:spacing w:line="206" w:lineRule="exact"/>
              <w:ind w:left="71"/>
              <w:rPr>
                <w:sz w:val="18"/>
                <w:szCs w:val="18"/>
              </w:rPr>
            </w:pPr>
            <w:r w:rsidRPr="00F313AA">
              <w:rPr>
                <w:sz w:val="18"/>
                <w:szCs w:val="18"/>
              </w:rPr>
              <w:t>Vis</w:t>
            </w:r>
            <w:r w:rsidRPr="00F313AA">
              <w:rPr>
                <w:spacing w:val="-1"/>
                <w:sz w:val="18"/>
                <w:szCs w:val="18"/>
              </w:rPr>
              <w:t xml:space="preserve"> </w:t>
            </w:r>
            <w:r w:rsidRPr="00F313AA">
              <w:rPr>
                <w:sz w:val="18"/>
                <w:szCs w:val="18"/>
              </w:rPr>
              <w:t>pesos</w:t>
            </w:r>
          </w:p>
        </w:tc>
        <w:tc>
          <w:tcPr>
            <w:tcW w:w="1982" w:type="dxa"/>
          </w:tcPr>
          <w:p w14:paraId="745F8759" w14:textId="77777777" w:rsidR="00AD2DE5" w:rsidRPr="00F313AA" w:rsidRDefault="00AD2DE5" w:rsidP="008E579E">
            <w:pPr>
              <w:pStyle w:val="TableParagraph"/>
              <w:spacing w:line="206" w:lineRule="exact"/>
              <w:ind w:right="58"/>
              <w:rPr>
                <w:sz w:val="18"/>
                <w:szCs w:val="18"/>
              </w:rPr>
            </w:pPr>
            <w:r w:rsidRPr="00F313AA">
              <w:rPr>
                <w:sz w:val="18"/>
                <w:szCs w:val="18"/>
              </w:rPr>
              <w:t>11,253</w:t>
            </w:r>
          </w:p>
        </w:tc>
        <w:tc>
          <w:tcPr>
            <w:tcW w:w="1418" w:type="dxa"/>
          </w:tcPr>
          <w:p w14:paraId="0FD86998" w14:textId="77777777" w:rsidR="00AD2DE5" w:rsidRPr="00F313AA" w:rsidRDefault="00AD2DE5" w:rsidP="008E579E">
            <w:pPr>
              <w:pStyle w:val="TableParagraph"/>
              <w:spacing w:line="206" w:lineRule="exact"/>
              <w:ind w:right="57"/>
              <w:rPr>
                <w:sz w:val="18"/>
                <w:szCs w:val="18"/>
              </w:rPr>
            </w:pPr>
            <w:r w:rsidRPr="00F313AA">
              <w:rPr>
                <w:sz w:val="18"/>
                <w:szCs w:val="18"/>
              </w:rPr>
              <w:t>11,528</w:t>
            </w:r>
          </w:p>
        </w:tc>
        <w:tc>
          <w:tcPr>
            <w:tcW w:w="2124" w:type="dxa"/>
          </w:tcPr>
          <w:p w14:paraId="7C5798A6" w14:textId="77777777" w:rsidR="00AD2DE5" w:rsidRPr="00F313AA" w:rsidRDefault="00AD2DE5" w:rsidP="008E579E">
            <w:pPr>
              <w:pStyle w:val="TableParagraph"/>
              <w:spacing w:line="206" w:lineRule="exact"/>
              <w:ind w:right="56"/>
              <w:rPr>
                <w:sz w:val="18"/>
                <w:szCs w:val="18"/>
              </w:rPr>
            </w:pPr>
            <w:r w:rsidRPr="00F313AA">
              <w:rPr>
                <w:sz w:val="18"/>
                <w:szCs w:val="18"/>
              </w:rPr>
              <w:t>$379,077,891,961</w:t>
            </w:r>
          </w:p>
        </w:tc>
      </w:tr>
      <w:tr w:rsidR="00AD2DE5" w:rsidRPr="00F313AA" w14:paraId="2000920F" w14:textId="77777777" w:rsidTr="008E579E">
        <w:trPr>
          <w:trHeight w:val="237"/>
        </w:trPr>
        <w:tc>
          <w:tcPr>
            <w:tcW w:w="3257" w:type="dxa"/>
          </w:tcPr>
          <w:p w14:paraId="497A77E9" w14:textId="77777777" w:rsidR="00AD2DE5" w:rsidRPr="00F313AA" w:rsidRDefault="00AD2DE5" w:rsidP="008E579E">
            <w:pPr>
              <w:pStyle w:val="TableParagraph"/>
              <w:spacing w:line="206" w:lineRule="exact"/>
              <w:ind w:left="71"/>
              <w:rPr>
                <w:sz w:val="18"/>
                <w:szCs w:val="18"/>
              </w:rPr>
            </w:pPr>
            <w:r w:rsidRPr="00F313AA">
              <w:rPr>
                <w:sz w:val="18"/>
                <w:szCs w:val="18"/>
              </w:rPr>
              <w:t>Vis UVR</w:t>
            </w:r>
          </w:p>
        </w:tc>
        <w:tc>
          <w:tcPr>
            <w:tcW w:w="1982" w:type="dxa"/>
          </w:tcPr>
          <w:p w14:paraId="7A56F703" w14:textId="77777777" w:rsidR="00AD2DE5" w:rsidRPr="00F313AA" w:rsidRDefault="00AD2DE5" w:rsidP="008E579E">
            <w:pPr>
              <w:pStyle w:val="TableParagraph"/>
              <w:spacing w:line="206" w:lineRule="exact"/>
              <w:ind w:right="55"/>
              <w:rPr>
                <w:sz w:val="18"/>
                <w:szCs w:val="18"/>
              </w:rPr>
            </w:pPr>
            <w:r w:rsidRPr="00F313AA">
              <w:rPr>
                <w:sz w:val="18"/>
                <w:szCs w:val="18"/>
              </w:rPr>
              <w:t>5,079</w:t>
            </w:r>
          </w:p>
        </w:tc>
        <w:tc>
          <w:tcPr>
            <w:tcW w:w="1418" w:type="dxa"/>
          </w:tcPr>
          <w:p w14:paraId="754F3854" w14:textId="77777777" w:rsidR="00AD2DE5" w:rsidRPr="00F313AA" w:rsidRDefault="00AD2DE5" w:rsidP="008E579E">
            <w:pPr>
              <w:pStyle w:val="TableParagraph"/>
              <w:spacing w:line="206" w:lineRule="exact"/>
              <w:ind w:right="55"/>
              <w:rPr>
                <w:sz w:val="18"/>
                <w:szCs w:val="18"/>
              </w:rPr>
            </w:pPr>
            <w:r w:rsidRPr="00F313AA">
              <w:rPr>
                <w:sz w:val="18"/>
                <w:szCs w:val="18"/>
              </w:rPr>
              <w:t>5,097</w:t>
            </w:r>
          </w:p>
        </w:tc>
        <w:tc>
          <w:tcPr>
            <w:tcW w:w="2124" w:type="dxa"/>
          </w:tcPr>
          <w:p w14:paraId="7B30F3A9" w14:textId="77777777" w:rsidR="00AD2DE5" w:rsidRPr="00F313AA" w:rsidRDefault="00AD2DE5" w:rsidP="008E579E">
            <w:pPr>
              <w:pStyle w:val="TableParagraph"/>
              <w:spacing w:line="206" w:lineRule="exact"/>
              <w:ind w:right="56"/>
              <w:rPr>
                <w:sz w:val="18"/>
                <w:szCs w:val="18"/>
              </w:rPr>
            </w:pPr>
            <w:r w:rsidRPr="00F313AA">
              <w:rPr>
                <w:sz w:val="18"/>
                <w:szCs w:val="18"/>
              </w:rPr>
              <w:t>$171,293,039,843</w:t>
            </w:r>
          </w:p>
        </w:tc>
      </w:tr>
      <w:tr w:rsidR="00AD2DE5" w:rsidRPr="00F313AA" w14:paraId="25887CD6" w14:textId="77777777" w:rsidTr="008E579E">
        <w:trPr>
          <w:trHeight w:val="239"/>
        </w:trPr>
        <w:tc>
          <w:tcPr>
            <w:tcW w:w="3257" w:type="dxa"/>
          </w:tcPr>
          <w:p w14:paraId="50F00012" w14:textId="77777777" w:rsidR="00AD2DE5" w:rsidRPr="00F313AA" w:rsidRDefault="00AD2DE5" w:rsidP="008E579E">
            <w:pPr>
              <w:pStyle w:val="TableParagraph"/>
              <w:spacing w:before="1"/>
              <w:ind w:left="71"/>
              <w:rPr>
                <w:sz w:val="18"/>
                <w:szCs w:val="18"/>
              </w:rPr>
            </w:pPr>
            <w:r w:rsidRPr="00F313AA">
              <w:rPr>
                <w:sz w:val="18"/>
                <w:szCs w:val="18"/>
              </w:rPr>
              <w:t>No</w:t>
            </w:r>
            <w:r w:rsidRPr="00F313AA">
              <w:rPr>
                <w:spacing w:val="-1"/>
                <w:sz w:val="18"/>
                <w:szCs w:val="18"/>
              </w:rPr>
              <w:t xml:space="preserve"> </w:t>
            </w:r>
            <w:r w:rsidRPr="00F313AA">
              <w:rPr>
                <w:sz w:val="18"/>
                <w:szCs w:val="18"/>
              </w:rPr>
              <w:t>Vis</w:t>
            </w:r>
            <w:r w:rsidRPr="00F313AA">
              <w:rPr>
                <w:spacing w:val="-2"/>
                <w:sz w:val="18"/>
                <w:szCs w:val="18"/>
              </w:rPr>
              <w:t xml:space="preserve"> </w:t>
            </w:r>
            <w:r w:rsidRPr="00F313AA">
              <w:rPr>
                <w:sz w:val="18"/>
                <w:szCs w:val="18"/>
              </w:rPr>
              <w:t>pesos</w:t>
            </w:r>
          </w:p>
        </w:tc>
        <w:tc>
          <w:tcPr>
            <w:tcW w:w="1982" w:type="dxa"/>
          </w:tcPr>
          <w:p w14:paraId="223F9C57" w14:textId="77777777" w:rsidR="00AD2DE5" w:rsidRPr="00F313AA" w:rsidRDefault="00AD2DE5" w:rsidP="008E579E">
            <w:pPr>
              <w:pStyle w:val="TableParagraph"/>
              <w:spacing w:before="1"/>
              <w:ind w:right="58"/>
              <w:rPr>
                <w:sz w:val="18"/>
                <w:szCs w:val="18"/>
              </w:rPr>
            </w:pPr>
            <w:r w:rsidRPr="00F313AA">
              <w:rPr>
                <w:sz w:val="18"/>
                <w:szCs w:val="18"/>
              </w:rPr>
              <w:t>15,447</w:t>
            </w:r>
          </w:p>
        </w:tc>
        <w:tc>
          <w:tcPr>
            <w:tcW w:w="1418" w:type="dxa"/>
          </w:tcPr>
          <w:p w14:paraId="7D5D7B5C" w14:textId="77777777" w:rsidR="00AD2DE5" w:rsidRPr="00F313AA" w:rsidRDefault="00AD2DE5" w:rsidP="008E579E">
            <w:pPr>
              <w:pStyle w:val="TableParagraph"/>
              <w:spacing w:before="1"/>
              <w:ind w:right="57"/>
              <w:rPr>
                <w:sz w:val="18"/>
                <w:szCs w:val="18"/>
              </w:rPr>
            </w:pPr>
            <w:r w:rsidRPr="00F313AA">
              <w:rPr>
                <w:sz w:val="18"/>
                <w:szCs w:val="18"/>
              </w:rPr>
              <w:t>16,965</w:t>
            </w:r>
          </w:p>
        </w:tc>
        <w:tc>
          <w:tcPr>
            <w:tcW w:w="2124" w:type="dxa"/>
          </w:tcPr>
          <w:p w14:paraId="06527CC0" w14:textId="77777777" w:rsidR="00AD2DE5" w:rsidRPr="00F313AA" w:rsidRDefault="00AD2DE5" w:rsidP="008E579E">
            <w:pPr>
              <w:pStyle w:val="TableParagraph"/>
              <w:spacing w:before="1"/>
              <w:ind w:right="58"/>
              <w:rPr>
                <w:sz w:val="18"/>
                <w:szCs w:val="18"/>
              </w:rPr>
            </w:pPr>
            <w:r w:rsidRPr="00F313AA">
              <w:rPr>
                <w:sz w:val="18"/>
                <w:szCs w:val="18"/>
              </w:rPr>
              <w:t>$1,730,564,275,927</w:t>
            </w:r>
          </w:p>
        </w:tc>
      </w:tr>
      <w:tr w:rsidR="00AD2DE5" w:rsidRPr="00F313AA" w14:paraId="7B6C8558" w14:textId="77777777" w:rsidTr="008E579E">
        <w:trPr>
          <w:trHeight w:val="237"/>
        </w:trPr>
        <w:tc>
          <w:tcPr>
            <w:tcW w:w="3257" w:type="dxa"/>
          </w:tcPr>
          <w:p w14:paraId="0029E23B" w14:textId="77777777" w:rsidR="00AD2DE5" w:rsidRPr="00F313AA" w:rsidRDefault="00AD2DE5" w:rsidP="008E579E">
            <w:pPr>
              <w:pStyle w:val="TableParagraph"/>
              <w:spacing w:line="206" w:lineRule="exact"/>
              <w:ind w:left="71"/>
              <w:rPr>
                <w:sz w:val="18"/>
                <w:szCs w:val="18"/>
              </w:rPr>
            </w:pPr>
            <w:r w:rsidRPr="00F313AA">
              <w:rPr>
                <w:sz w:val="18"/>
                <w:szCs w:val="18"/>
              </w:rPr>
              <w:t>No</w:t>
            </w:r>
            <w:r w:rsidRPr="00F313AA">
              <w:rPr>
                <w:spacing w:val="-1"/>
                <w:sz w:val="18"/>
                <w:szCs w:val="18"/>
              </w:rPr>
              <w:t xml:space="preserve"> </w:t>
            </w:r>
            <w:r w:rsidRPr="00F313AA">
              <w:rPr>
                <w:sz w:val="18"/>
                <w:szCs w:val="18"/>
              </w:rPr>
              <w:t>Vis</w:t>
            </w:r>
            <w:r w:rsidRPr="00F313AA">
              <w:rPr>
                <w:spacing w:val="1"/>
                <w:sz w:val="18"/>
                <w:szCs w:val="18"/>
              </w:rPr>
              <w:t xml:space="preserve"> </w:t>
            </w:r>
            <w:r w:rsidRPr="00F313AA">
              <w:rPr>
                <w:sz w:val="18"/>
                <w:szCs w:val="18"/>
              </w:rPr>
              <w:t>UVR</w:t>
            </w:r>
          </w:p>
        </w:tc>
        <w:tc>
          <w:tcPr>
            <w:tcW w:w="1982" w:type="dxa"/>
          </w:tcPr>
          <w:p w14:paraId="61D8A5A8" w14:textId="77777777" w:rsidR="00AD2DE5" w:rsidRPr="00F313AA" w:rsidRDefault="00AD2DE5" w:rsidP="008E579E">
            <w:pPr>
              <w:pStyle w:val="TableParagraph"/>
              <w:spacing w:line="206" w:lineRule="exact"/>
              <w:ind w:right="55"/>
              <w:rPr>
                <w:sz w:val="18"/>
                <w:szCs w:val="18"/>
              </w:rPr>
            </w:pPr>
            <w:r w:rsidRPr="00F313AA">
              <w:rPr>
                <w:sz w:val="18"/>
                <w:szCs w:val="18"/>
              </w:rPr>
              <w:t>1,245</w:t>
            </w:r>
          </w:p>
        </w:tc>
        <w:tc>
          <w:tcPr>
            <w:tcW w:w="1418" w:type="dxa"/>
          </w:tcPr>
          <w:p w14:paraId="4F580F06" w14:textId="77777777" w:rsidR="00AD2DE5" w:rsidRPr="00F313AA" w:rsidRDefault="00AD2DE5" w:rsidP="008E579E">
            <w:pPr>
              <w:pStyle w:val="TableParagraph"/>
              <w:spacing w:line="206" w:lineRule="exact"/>
              <w:ind w:right="55"/>
              <w:rPr>
                <w:sz w:val="18"/>
                <w:szCs w:val="18"/>
              </w:rPr>
            </w:pPr>
            <w:r w:rsidRPr="00F313AA">
              <w:rPr>
                <w:sz w:val="18"/>
                <w:szCs w:val="18"/>
              </w:rPr>
              <w:t>1,315</w:t>
            </w:r>
          </w:p>
        </w:tc>
        <w:tc>
          <w:tcPr>
            <w:tcW w:w="2124" w:type="dxa"/>
          </w:tcPr>
          <w:p w14:paraId="00453E1D" w14:textId="77777777" w:rsidR="00AD2DE5" w:rsidRPr="00F313AA" w:rsidRDefault="00AD2DE5" w:rsidP="008E579E">
            <w:pPr>
              <w:pStyle w:val="TableParagraph"/>
              <w:spacing w:line="206" w:lineRule="exact"/>
              <w:ind w:right="56"/>
              <w:rPr>
                <w:sz w:val="18"/>
                <w:szCs w:val="18"/>
              </w:rPr>
            </w:pPr>
            <w:r w:rsidRPr="00F313AA">
              <w:rPr>
                <w:sz w:val="18"/>
                <w:szCs w:val="18"/>
              </w:rPr>
              <w:t>$132,082,055,019</w:t>
            </w:r>
          </w:p>
        </w:tc>
      </w:tr>
      <w:tr w:rsidR="00AD2DE5" w:rsidRPr="00F313AA" w14:paraId="0E29A1BB" w14:textId="77777777" w:rsidTr="008E579E">
        <w:trPr>
          <w:trHeight w:val="237"/>
        </w:trPr>
        <w:tc>
          <w:tcPr>
            <w:tcW w:w="3257" w:type="dxa"/>
          </w:tcPr>
          <w:p w14:paraId="0D44849F" w14:textId="77777777" w:rsidR="00AD2DE5" w:rsidRPr="00F313AA" w:rsidRDefault="00AD2DE5" w:rsidP="008E579E">
            <w:pPr>
              <w:pStyle w:val="TableParagraph"/>
              <w:spacing w:line="206" w:lineRule="exact"/>
              <w:ind w:left="71"/>
              <w:rPr>
                <w:sz w:val="18"/>
                <w:szCs w:val="18"/>
              </w:rPr>
            </w:pPr>
            <w:r w:rsidRPr="00F313AA">
              <w:rPr>
                <w:sz w:val="18"/>
                <w:szCs w:val="18"/>
              </w:rPr>
              <w:t>Leasing</w:t>
            </w:r>
            <w:r w:rsidRPr="00F313AA">
              <w:rPr>
                <w:spacing w:val="-6"/>
                <w:sz w:val="18"/>
                <w:szCs w:val="18"/>
              </w:rPr>
              <w:t xml:space="preserve"> </w:t>
            </w:r>
            <w:r w:rsidRPr="00F313AA">
              <w:rPr>
                <w:sz w:val="18"/>
                <w:szCs w:val="18"/>
              </w:rPr>
              <w:t>habitacional</w:t>
            </w:r>
          </w:p>
        </w:tc>
        <w:tc>
          <w:tcPr>
            <w:tcW w:w="1982" w:type="dxa"/>
          </w:tcPr>
          <w:p w14:paraId="18A08F2C" w14:textId="77777777" w:rsidR="00AD2DE5" w:rsidRPr="00F313AA" w:rsidRDefault="00AD2DE5" w:rsidP="008E579E">
            <w:pPr>
              <w:pStyle w:val="TableParagraph"/>
              <w:spacing w:line="206" w:lineRule="exact"/>
              <w:ind w:right="55"/>
              <w:rPr>
                <w:sz w:val="18"/>
                <w:szCs w:val="18"/>
              </w:rPr>
            </w:pPr>
            <w:r w:rsidRPr="00F313AA">
              <w:rPr>
                <w:sz w:val="18"/>
                <w:szCs w:val="18"/>
              </w:rPr>
              <w:t>4,982</w:t>
            </w:r>
          </w:p>
        </w:tc>
        <w:tc>
          <w:tcPr>
            <w:tcW w:w="1418" w:type="dxa"/>
          </w:tcPr>
          <w:p w14:paraId="62A1426E" w14:textId="77777777" w:rsidR="00AD2DE5" w:rsidRPr="00F313AA" w:rsidRDefault="00AD2DE5" w:rsidP="008E579E">
            <w:pPr>
              <w:pStyle w:val="TableParagraph"/>
              <w:spacing w:line="206" w:lineRule="exact"/>
              <w:ind w:right="55"/>
              <w:rPr>
                <w:sz w:val="18"/>
                <w:szCs w:val="18"/>
              </w:rPr>
            </w:pPr>
            <w:r w:rsidRPr="00F313AA">
              <w:rPr>
                <w:sz w:val="18"/>
                <w:szCs w:val="18"/>
              </w:rPr>
              <w:t>5,490</w:t>
            </w:r>
          </w:p>
        </w:tc>
        <w:tc>
          <w:tcPr>
            <w:tcW w:w="2124" w:type="dxa"/>
          </w:tcPr>
          <w:p w14:paraId="5F7E5FAF" w14:textId="77777777" w:rsidR="00AD2DE5" w:rsidRPr="00F313AA" w:rsidRDefault="00AD2DE5" w:rsidP="008E579E">
            <w:pPr>
              <w:pStyle w:val="TableParagraph"/>
              <w:spacing w:line="206" w:lineRule="exact"/>
              <w:ind w:right="58"/>
              <w:rPr>
                <w:sz w:val="18"/>
                <w:szCs w:val="18"/>
              </w:rPr>
            </w:pPr>
            <w:r w:rsidRPr="00F313AA">
              <w:rPr>
                <w:sz w:val="18"/>
                <w:szCs w:val="18"/>
              </w:rPr>
              <w:t>$1,628,257,662,235</w:t>
            </w:r>
          </w:p>
        </w:tc>
      </w:tr>
      <w:tr w:rsidR="00AD2DE5" w:rsidRPr="00F313AA" w14:paraId="5EB263F4" w14:textId="77777777" w:rsidTr="008E579E">
        <w:trPr>
          <w:trHeight w:val="239"/>
        </w:trPr>
        <w:tc>
          <w:tcPr>
            <w:tcW w:w="3257" w:type="dxa"/>
            <w:shd w:val="clear" w:color="auto" w:fill="C1BEBE"/>
          </w:tcPr>
          <w:p w14:paraId="6E2E3EA6" w14:textId="77777777" w:rsidR="00AD2DE5" w:rsidRPr="00F313AA" w:rsidRDefault="00AD2DE5" w:rsidP="008E579E">
            <w:pPr>
              <w:pStyle w:val="TableParagraph"/>
              <w:spacing w:before="1"/>
              <w:ind w:left="71"/>
              <w:rPr>
                <w:b/>
                <w:sz w:val="18"/>
                <w:szCs w:val="18"/>
              </w:rPr>
            </w:pPr>
            <w:r w:rsidRPr="00F313AA">
              <w:rPr>
                <w:b/>
                <w:sz w:val="18"/>
                <w:szCs w:val="18"/>
              </w:rPr>
              <w:t>Total</w:t>
            </w:r>
          </w:p>
        </w:tc>
        <w:tc>
          <w:tcPr>
            <w:tcW w:w="1982" w:type="dxa"/>
            <w:shd w:val="clear" w:color="auto" w:fill="C1BEBE"/>
          </w:tcPr>
          <w:p w14:paraId="7F265D96" w14:textId="77777777" w:rsidR="00AD2DE5" w:rsidRPr="00F313AA" w:rsidRDefault="00AD2DE5" w:rsidP="008E579E">
            <w:pPr>
              <w:pStyle w:val="TableParagraph"/>
              <w:spacing w:before="1"/>
              <w:ind w:right="56"/>
              <w:rPr>
                <w:b/>
                <w:sz w:val="18"/>
                <w:szCs w:val="18"/>
              </w:rPr>
            </w:pPr>
            <w:r w:rsidRPr="00F313AA">
              <w:rPr>
                <w:b/>
                <w:sz w:val="18"/>
                <w:szCs w:val="18"/>
              </w:rPr>
              <w:t>1,852,162</w:t>
            </w:r>
          </w:p>
        </w:tc>
        <w:tc>
          <w:tcPr>
            <w:tcW w:w="1418" w:type="dxa"/>
            <w:shd w:val="clear" w:color="auto" w:fill="C1BEBE"/>
          </w:tcPr>
          <w:p w14:paraId="7DE14A49" w14:textId="77777777" w:rsidR="00AD2DE5" w:rsidRPr="00F313AA" w:rsidRDefault="00AD2DE5" w:rsidP="008E579E">
            <w:pPr>
              <w:pStyle w:val="TableParagraph"/>
              <w:spacing w:before="1"/>
              <w:ind w:right="55"/>
              <w:rPr>
                <w:b/>
                <w:sz w:val="18"/>
                <w:szCs w:val="18"/>
              </w:rPr>
            </w:pPr>
            <w:r w:rsidRPr="00F313AA">
              <w:rPr>
                <w:b/>
                <w:sz w:val="18"/>
                <w:szCs w:val="18"/>
              </w:rPr>
              <w:t>2,163,420</w:t>
            </w:r>
          </w:p>
        </w:tc>
        <w:tc>
          <w:tcPr>
            <w:tcW w:w="2124" w:type="dxa"/>
            <w:shd w:val="clear" w:color="auto" w:fill="C1BEBE"/>
          </w:tcPr>
          <w:p w14:paraId="46EBCA08" w14:textId="77777777" w:rsidR="00AD2DE5" w:rsidRPr="00F313AA" w:rsidRDefault="00AD2DE5" w:rsidP="008E579E">
            <w:pPr>
              <w:pStyle w:val="TableParagraph"/>
              <w:spacing w:before="1"/>
              <w:ind w:right="58"/>
              <w:rPr>
                <w:b/>
                <w:sz w:val="18"/>
                <w:szCs w:val="18"/>
              </w:rPr>
            </w:pPr>
            <w:r w:rsidRPr="00F313AA">
              <w:rPr>
                <w:b/>
                <w:sz w:val="18"/>
                <w:szCs w:val="18"/>
              </w:rPr>
              <w:t>$28,561,433,765,364</w:t>
            </w:r>
          </w:p>
        </w:tc>
      </w:tr>
    </w:tbl>
    <w:p w14:paraId="2A21EA0C" w14:textId="77777777" w:rsidR="00AD2DE5" w:rsidRPr="00106F94" w:rsidRDefault="00AD2DE5" w:rsidP="00FE781C">
      <w:pPr>
        <w:shd w:val="clear" w:color="auto" w:fill="FFFFFF"/>
        <w:spacing w:after="0" w:line="235" w:lineRule="atLeast"/>
        <w:ind w:right="986"/>
        <w:rPr>
          <w:rFonts w:ascii="Arial" w:eastAsia="Times New Roman" w:hAnsi="Arial" w:cs="Arial"/>
          <w:b/>
          <w:bCs/>
          <w:color w:val="000000"/>
          <w:sz w:val="24"/>
          <w:szCs w:val="24"/>
          <w:bdr w:val="none" w:sz="0" w:space="0" w:color="auto" w:frame="1"/>
        </w:rPr>
      </w:pPr>
    </w:p>
    <w:p w14:paraId="21D19E19" w14:textId="77777777" w:rsidR="00FE781C" w:rsidRPr="00106F94" w:rsidRDefault="00FE781C" w:rsidP="00FE781C">
      <w:pPr>
        <w:shd w:val="clear" w:color="auto" w:fill="FFFFFF"/>
        <w:spacing w:after="0" w:line="235" w:lineRule="atLeast"/>
        <w:ind w:right="986"/>
        <w:rPr>
          <w:rFonts w:ascii="Arial" w:eastAsia="Times New Roman" w:hAnsi="Arial" w:cs="Arial"/>
          <w:color w:val="000000"/>
          <w:sz w:val="24"/>
          <w:szCs w:val="24"/>
        </w:rPr>
      </w:pPr>
    </w:p>
    <w:p w14:paraId="03B42519" w14:textId="0C3FFE6D" w:rsidR="00AD2DE5" w:rsidRPr="00D25A8D" w:rsidRDefault="00FE781C" w:rsidP="00D25A8D">
      <w:pPr>
        <w:shd w:val="clear" w:color="auto" w:fill="FFFFFF"/>
        <w:spacing w:after="0" w:line="235" w:lineRule="atLeast"/>
        <w:ind w:right="191"/>
        <w:jc w:val="center"/>
        <w:rPr>
          <w:rFonts w:ascii="Arial" w:eastAsia="Times New Roman" w:hAnsi="Arial" w:cs="Arial"/>
          <w:color w:val="000000"/>
          <w:sz w:val="24"/>
          <w:szCs w:val="24"/>
        </w:rPr>
      </w:pPr>
      <w:r w:rsidRPr="00106F94">
        <w:rPr>
          <w:rFonts w:ascii="Arial" w:eastAsia="Times New Roman" w:hAnsi="Arial" w:cs="Arial"/>
          <w:b/>
          <w:bCs/>
          <w:color w:val="2D4873"/>
          <w:sz w:val="24"/>
          <w:szCs w:val="24"/>
          <w:bdr w:val="none" w:sz="0" w:space="0" w:color="auto" w:frame="1"/>
        </w:rPr>
        <w:t> </w:t>
      </w:r>
      <w:r w:rsidR="00AD2DE5" w:rsidRPr="00AD2DE5">
        <w:rPr>
          <w:rFonts w:ascii="Arial" w:eastAsia="Times New Roman" w:hAnsi="Arial" w:cs="Arial"/>
          <w:b/>
          <w:bCs/>
          <w:color w:val="2D4873"/>
          <w:sz w:val="24"/>
          <w:szCs w:val="24"/>
          <w:bdr w:val="none" w:sz="0" w:space="0" w:color="auto" w:frame="1"/>
        </w:rPr>
        <w:t> </w:t>
      </w:r>
      <w:r w:rsidR="00AD2DE5" w:rsidRPr="00AD2DE5">
        <w:rPr>
          <w:rFonts w:ascii="Arial" w:eastAsia="Times New Roman" w:hAnsi="Arial" w:cs="Arial"/>
          <w:b/>
          <w:bCs/>
          <w:sz w:val="24"/>
          <w:szCs w:val="24"/>
          <w:bdr w:val="none" w:sz="0" w:space="0" w:color="auto" w:frame="1"/>
        </w:rPr>
        <w:t>Última actualización: (25/01/2022) – Cifras con corte a (31/12/2021)</w:t>
      </w:r>
      <w:r w:rsidR="00AD2DE5" w:rsidRPr="00AD2DE5">
        <w:rPr>
          <w:rFonts w:ascii="Arial" w:eastAsia="Times New Roman" w:hAnsi="Arial" w:cs="Arial"/>
          <w:b/>
          <w:bCs/>
          <w:color w:val="2D4873"/>
          <w:sz w:val="24"/>
          <w:szCs w:val="24"/>
          <w:bdr w:val="none" w:sz="0" w:space="0" w:color="auto" w:frame="1"/>
        </w:rPr>
        <w:t> </w:t>
      </w:r>
    </w:p>
    <w:p w14:paraId="62C42263" w14:textId="77777777" w:rsidR="00AD2DE5" w:rsidRDefault="00AD2DE5" w:rsidP="00AD2DE5">
      <w:pPr>
        <w:pStyle w:val="xmsonormal"/>
        <w:shd w:val="clear" w:color="auto" w:fill="FFFFFF"/>
        <w:spacing w:before="0" w:beforeAutospacing="0" w:after="0" w:afterAutospacing="0" w:line="235" w:lineRule="atLeast"/>
        <w:ind w:left="720"/>
        <w:rPr>
          <w:rFonts w:ascii="Arial" w:hAnsi="Arial" w:cs="Arial"/>
        </w:rPr>
      </w:pPr>
    </w:p>
    <w:p w14:paraId="20E07A3D" w14:textId="30FFDCBE" w:rsidR="00AD2DE5" w:rsidRPr="009228E1" w:rsidRDefault="00AD2DE5" w:rsidP="00AD2DE5">
      <w:pPr>
        <w:pStyle w:val="xmsonormal"/>
        <w:shd w:val="clear" w:color="auto" w:fill="FFFFFF"/>
        <w:spacing w:before="0" w:beforeAutospacing="0" w:after="0" w:afterAutospacing="0" w:line="235" w:lineRule="atLeast"/>
        <w:ind w:left="720"/>
        <w:rPr>
          <w:rFonts w:ascii="Arial" w:hAnsi="Arial" w:cs="Arial"/>
          <w:color w:val="000000"/>
          <w:bdr w:val="none" w:sz="0" w:space="0" w:color="auto" w:frame="1"/>
          <w:lang w:val="es-CO"/>
        </w:rPr>
      </w:pPr>
      <w:r w:rsidRPr="009228E1">
        <w:rPr>
          <w:rFonts w:ascii="Arial" w:hAnsi="Arial" w:cs="Arial"/>
        </w:rPr>
        <w:t>SEGÚN LOS DATOS OBTENIDOS DE LA SUPERFINANCIERA</w:t>
      </w:r>
      <w:r w:rsidRPr="009228E1">
        <w:rPr>
          <w:rStyle w:val="Refdenotaalpie"/>
          <w:rFonts w:ascii="Arial" w:hAnsi="Arial" w:cs="Arial"/>
          <w:color w:val="000000"/>
          <w:bdr w:val="none" w:sz="0" w:space="0" w:color="auto" w:frame="1"/>
          <w:lang w:val="es-CO"/>
        </w:rPr>
        <w:footnoteReference w:id="5"/>
      </w:r>
      <w:r w:rsidRPr="009228E1">
        <w:rPr>
          <w:rFonts w:ascii="Arial" w:hAnsi="Arial" w:cs="Arial"/>
          <w:color w:val="000000"/>
          <w:bdr w:val="none" w:sz="0" w:space="0" w:color="auto" w:frame="1"/>
          <w:lang w:val="es-CO"/>
        </w:rPr>
        <w:t> </w:t>
      </w:r>
    </w:p>
    <w:p w14:paraId="5EBE2CA2" w14:textId="77777777" w:rsidR="00AD2DE5" w:rsidRPr="009228E1" w:rsidRDefault="00AD2DE5" w:rsidP="00AD2DE5">
      <w:pPr>
        <w:pStyle w:val="xmsonormal"/>
        <w:shd w:val="clear" w:color="auto" w:fill="FFFFFF"/>
        <w:spacing w:before="0" w:beforeAutospacing="0" w:after="0" w:afterAutospacing="0" w:line="235" w:lineRule="atLeast"/>
        <w:ind w:left="720"/>
        <w:rPr>
          <w:rFonts w:ascii="Arial" w:hAnsi="Arial" w:cs="Arial"/>
          <w:color w:val="000000"/>
          <w:lang w:val="es-CO"/>
        </w:rPr>
      </w:pPr>
    </w:p>
    <w:p w14:paraId="40C31EB7" w14:textId="77777777" w:rsidR="00AD2DE5" w:rsidRPr="009228E1" w:rsidRDefault="00AD2DE5" w:rsidP="00AD2DE5">
      <w:pPr>
        <w:pStyle w:val="xmsonormal"/>
        <w:shd w:val="clear" w:color="auto" w:fill="FFFFFF"/>
        <w:spacing w:before="0" w:beforeAutospacing="0" w:after="0" w:afterAutospacing="0" w:line="235" w:lineRule="atLeast"/>
        <w:ind w:left="720"/>
        <w:rPr>
          <w:rFonts w:ascii="Arial" w:hAnsi="Arial" w:cs="Arial"/>
          <w:color w:val="000000"/>
          <w:bdr w:val="none" w:sz="0" w:space="0" w:color="auto" w:frame="1"/>
          <w:lang w:val="es-CO"/>
        </w:rPr>
      </w:pPr>
      <w:r>
        <w:rPr>
          <w:rFonts w:ascii="Arial" w:hAnsi="Arial" w:cs="Arial"/>
          <w:color w:val="000000"/>
          <w:bdr w:val="none" w:sz="0" w:space="0" w:color="auto" w:frame="1"/>
          <w:lang w:val="es-CO"/>
        </w:rPr>
        <w:lastRenderedPageBreak/>
        <w:t>Para diciembre de 2021 l</w:t>
      </w:r>
      <w:r w:rsidRPr="009228E1">
        <w:rPr>
          <w:rFonts w:ascii="Arial" w:hAnsi="Arial" w:cs="Arial"/>
          <w:color w:val="000000"/>
          <w:bdr w:val="none" w:sz="0" w:space="0" w:color="auto" w:frame="1"/>
          <w:lang w:val="es-CO"/>
        </w:rPr>
        <w:t>a calidad de cartera: es decir la cartera en mora o vencida sobre la cartera total recibida por los establecimientos financieros, que indica la morosidad de la misma se comportó así: </w:t>
      </w:r>
    </w:p>
    <w:p w14:paraId="187E207C" w14:textId="77777777" w:rsidR="00AD2DE5" w:rsidRPr="009228E1" w:rsidRDefault="00AD2DE5" w:rsidP="00AD2DE5">
      <w:pPr>
        <w:pStyle w:val="xmsonormal"/>
        <w:shd w:val="clear" w:color="auto" w:fill="FFFFFF"/>
        <w:spacing w:before="0" w:beforeAutospacing="0" w:after="0" w:afterAutospacing="0" w:line="235" w:lineRule="atLeast"/>
        <w:ind w:left="720"/>
        <w:rPr>
          <w:rFonts w:ascii="Arial" w:hAnsi="Arial" w:cs="Arial"/>
          <w:color w:val="000000"/>
          <w:lang w:val="es-CO"/>
        </w:rPr>
      </w:pPr>
    </w:p>
    <w:tbl>
      <w:tblPr>
        <w:tblW w:w="949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414"/>
        <w:gridCol w:w="5079"/>
      </w:tblGrid>
      <w:tr w:rsidR="00AD2DE5" w:rsidRPr="009228E1" w14:paraId="39C0A92A" w14:textId="77777777" w:rsidTr="008E579E">
        <w:trPr>
          <w:jc w:val="center"/>
        </w:trPr>
        <w:tc>
          <w:tcPr>
            <w:tcW w:w="441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B0EBE5" w14:textId="77777777" w:rsidR="00AD2DE5" w:rsidRPr="009228E1" w:rsidRDefault="00AD2DE5" w:rsidP="008E579E">
            <w:pPr>
              <w:pStyle w:val="xmsonormal"/>
              <w:spacing w:before="0" w:beforeAutospacing="0" w:after="0" w:afterAutospacing="0"/>
              <w:jc w:val="center"/>
              <w:rPr>
                <w:rFonts w:ascii="Arial" w:hAnsi="Arial" w:cs="Arial"/>
                <w:color w:val="000000"/>
                <w:lang w:val="es-CO"/>
              </w:rPr>
            </w:pPr>
            <w:r w:rsidRPr="009228E1">
              <w:rPr>
                <w:rFonts w:ascii="Arial" w:hAnsi="Arial" w:cs="Arial"/>
                <w:b/>
                <w:bCs/>
                <w:color w:val="000000"/>
                <w:bdr w:val="none" w:sz="0" w:space="0" w:color="auto" w:frame="1"/>
                <w:lang w:val="es-CO"/>
              </w:rPr>
              <w:t>TIPO DE CARTERA </w:t>
            </w:r>
          </w:p>
        </w:tc>
        <w:tc>
          <w:tcPr>
            <w:tcW w:w="507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3568888" w14:textId="77777777" w:rsidR="00AD2DE5" w:rsidRPr="009228E1" w:rsidRDefault="00AD2DE5" w:rsidP="008E579E">
            <w:pPr>
              <w:pStyle w:val="xmsonormal"/>
              <w:spacing w:before="0" w:beforeAutospacing="0" w:after="0" w:afterAutospacing="0"/>
              <w:jc w:val="center"/>
              <w:rPr>
                <w:rFonts w:ascii="Arial" w:hAnsi="Arial" w:cs="Arial"/>
                <w:color w:val="000000"/>
                <w:lang w:val="es-CO"/>
              </w:rPr>
            </w:pPr>
            <w:r w:rsidRPr="009228E1">
              <w:rPr>
                <w:rFonts w:ascii="Arial" w:hAnsi="Arial" w:cs="Arial"/>
                <w:b/>
                <w:bCs/>
                <w:color w:val="000000"/>
                <w:bdr w:val="none" w:sz="0" w:space="0" w:color="auto" w:frame="1"/>
                <w:lang w:val="es-CO"/>
              </w:rPr>
              <w:t>PROMEDIO DE CARTERA EN MORA O VENCIDA </w:t>
            </w:r>
          </w:p>
        </w:tc>
      </w:tr>
      <w:tr w:rsidR="00AD2DE5" w:rsidRPr="009228E1" w14:paraId="7BF363D9" w14:textId="77777777" w:rsidTr="008E579E">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68F58" w14:textId="77777777" w:rsidR="00AD2DE5" w:rsidRPr="009228E1" w:rsidRDefault="00AD2DE5" w:rsidP="008E579E">
            <w:pPr>
              <w:pStyle w:val="xmsonormal"/>
              <w:spacing w:before="0" w:beforeAutospacing="0" w:after="0" w:afterAutospacing="0"/>
              <w:rPr>
                <w:rFonts w:ascii="Arial" w:hAnsi="Arial" w:cs="Arial"/>
                <w:color w:val="000000"/>
                <w:lang w:val="es-CO"/>
              </w:rPr>
            </w:pPr>
            <w:r w:rsidRPr="009228E1">
              <w:rPr>
                <w:rFonts w:ascii="Arial" w:hAnsi="Arial" w:cs="Arial"/>
                <w:color w:val="000000"/>
                <w:bdr w:val="none" w:sz="0" w:space="0" w:color="auto" w:frame="1"/>
                <w:lang w:val="es-CO"/>
              </w:rPr>
              <w:t>COMERCIAL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55E9B3" w14:textId="77777777" w:rsidR="00AD2DE5" w:rsidRPr="009228E1" w:rsidRDefault="00AD2DE5" w:rsidP="008E579E">
            <w:pPr>
              <w:pStyle w:val="xmsonormal"/>
              <w:spacing w:before="0" w:beforeAutospacing="0" w:after="0" w:afterAutospacing="0"/>
              <w:jc w:val="center"/>
              <w:rPr>
                <w:rFonts w:ascii="Arial" w:hAnsi="Arial" w:cs="Arial"/>
                <w:color w:val="000000"/>
                <w:lang w:val="es-CO"/>
              </w:rPr>
            </w:pPr>
            <w:r w:rsidRPr="009228E1">
              <w:rPr>
                <w:rFonts w:ascii="Arial" w:hAnsi="Arial" w:cs="Arial"/>
                <w:color w:val="000000"/>
                <w:bdr w:val="none" w:sz="0" w:space="0" w:color="auto" w:frame="1"/>
                <w:lang w:val="es-CO"/>
              </w:rPr>
              <w:t>16,1%</w:t>
            </w:r>
          </w:p>
        </w:tc>
      </w:tr>
      <w:tr w:rsidR="00AD2DE5" w:rsidRPr="009228E1" w14:paraId="41B1BF5D" w14:textId="77777777" w:rsidTr="008E579E">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A645B" w14:textId="77777777" w:rsidR="00AD2DE5" w:rsidRPr="009228E1" w:rsidRDefault="00AD2DE5" w:rsidP="008E579E">
            <w:pPr>
              <w:pStyle w:val="xmsonormal"/>
              <w:spacing w:before="0" w:beforeAutospacing="0" w:after="0" w:afterAutospacing="0"/>
              <w:rPr>
                <w:rFonts w:ascii="Arial" w:hAnsi="Arial" w:cs="Arial"/>
                <w:color w:val="000000"/>
                <w:lang w:val="es-CO"/>
              </w:rPr>
            </w:pPr>
            <w:r w:rsidRPr="009228E1">
              <w:rPr>
                <w:rFonts w:ascii="Arial" w:hAnsi="Arial" w:cs="Arial"/>
                <w:color w:val="000000"/>
                <w:bdr w:val="none" w:sz="0" w:space="0" w:color="auto" w:frame="1"/>
                <w:lang w:val="es-CO"/>
              </w:rPr>
              <w:t>CONSUMO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8DFE3" w14:textId="77777777" w:rsidR="00AD2DE5" w:rsidRPr="009228E1" w:rsidRDefault="00AD2DE5" w:rsidP="008E579E">
            <w:pPr>
              <w:pStyle w:val="xmsonormal"/>
              <w:spacing w:before="0" w:beforeAutospacing="0" w:after="0" w:afterAutospacing="0"/>
              <w:jc w:val="center"/>
              <w:rPr>
                <w:rFonts w:ascii="Arial" w:hAnsi="Arial" w:cs="Arial"/>
                <w:color w:val="000000"/>
                <w:lang w:val="es-CO"/>
              </w:rPr>
            </w:pPr>
            <w:r w:rsidRPr="009228E1">
              <w:rPr>
                <w:rFonts w:ascii="Arial" w:hAnsi="Arial" w:cs="Arial"/>
                <w:color w:val="000000"/>
                <w:bdr w:val="none" w:sz="0" w:space="0" w:color="auto" w:frame="1"/>
                <w:lang w:val="es-CO"/>
              </w:rPr>
              <w:t>16,39%</w:t>
            </w:r>
          </w:p>
        </w:tc>
      </w:tr>
      <w:tr w:rsidR="00AD2DE5" w:rsidRPr="009228E1" w14:paraId="1BEBA646" w14:textId="77777777" w:rsidTr="008E579E">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71997" w14:textId="77777777" w:rsidR="00AD2DE5" w:rsidRPr="009228E1" w:rsidRDefault="00AD2DE5" w:rsidP="008E579E">
            <w:pPr>
              <w:pStyle w:val="xmsonormal"/>
              <w:spacing w:before="0" w:beforeAutospacing="0" w:after="0" w:afterAutospacing="0"/>
              <w:rPr>
                <w:rFonts w:ascii="Arial" w:hAnsi="Arial" w:cs="Arial"/>
                <w:color w:val="000000"/>
                <w:lang w:val="es-CO"/>
              </w:rPr>
            </w:pPr>
            <w:r w:rsidRPr="009228E1">
              <w:rPr>
                <w:rFonts w:ascii="Arial" w:hAnsi="Arial" w:cs="Arial"/>
                <w:color w:val="000000"/>
                <w:bdr w:val="none" w:sz="0" w:space="0" w:color="auto" w:frame="1"/>
                <w:lang w:val="es-CO"/>
              </w:rPr>
              <w:t>VIVIENDA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DA8A5" w14:textId="77777777" w:rsidR="00AD2DE5" w:rsidRPr="009228E1" w:rsidRDefault="00AD2DE5" w:rsidP="008E579E">
            <w:pPr>
              <w:pStyle w:val="xmsonormal"/>
              <w:spacing w:before="0" w:beforeAutospacing="0" w:after="0" w:afterAutospacing="0"/>
              <w:jc w:val="center"/>
              <w:rPr>
                <w:rFonts w:ascii="Arial" w:hAnsi="Arial" w:cs="Arial"/>
                <w:color w:val="000000"/>
                <w:lang w:val="es-CO"/>
              </w:rPr>
            </w:pPr>
            <w:r w:rsidRPr="009228E1">
              <w:rPr>
                <w:rFonts w:ascii="Arial" w:hAnsi="Arial" w:cs="Arial"/>
                <w:color w:val="000000"/>
                <w:bdr w:val="none" w:sz="0" w:space="0" w:color="auto" w:frame="1"/>
                <w:lang w:val="es-CO"/>
              </w:rPr>
              <w:t>3,21%</w:t>
            </w:r>
          </w:p>
        </w:tc>
      </w:tr>
      <w:tr w:rsidR="00AD2DE5" w:rsidRPr="009228E1" w14:paraId="070F62E6" w14:textId="77777777" w:rsidTr="008E579E">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568739" w14:textId="77777777" w:rsidR="00AD2DE5" w:rsidRPr="009228E1" w:rsidRDefault="00AD2DE5" w:rsidP="008E579E">
            <w:pPr>
              <w:pStyle w:val="xmsonormal"/>
              <w:spacing w:before="0" w:beforeAutospacing="0" w:after="0" w:afterAutospacing="0"/>
              <w:rPr>
                <w:rFonts w:ascii="Arial" w:hAnsi="Arial" w:cs="Arial"/>
                <w:color w:val="000000"/>
                <w:lang w:val="es-CO"/>
              </w:rPr>
            </w:pPr>
            <w:r w:rsidRPr="009228E1">
              <w:rPr>
                <w:rFonts w:ascii="Arial" w:hAnsi="Arial" w:cs="Arial"/>
                <w:color w:val="000000"/>
                <w:bdr w:val="none" w:sz="0" w:space="0" w:color="auto" w:frame="1"/>
                <w:lang w:val="es-CO"/>
              </w:rPr>
              <w:t>MICROCREDITO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E6D9A" w14:textId="77777777" w:rsidR="00AD2DE5" w:rsidRPr="009228E1" w:rsidRDefault="00AD2DE5" w:rsidP="008E579E">
            <w:pPr>
              <w:pStyle w:val="xmsonormal"/>
              <w:spacing w:before="0" w:beforeAutospacing="0" w:after="0" w:afterAutospacing="0"/>
              <w:jc w:val="center"/>
              <w:rPr>
                <w:rFonts w:ascii="Arial" w:hAnsi="Arial" w:cs="Arial"/>
                <w:color w:val="000000"/>
                <w:lang w:val="es-CO"/>
              </w:rPr>
            </w:pPr>
            <w:r w:rsidRPr="009228E1">
              <w:rPr>
                <w:rFonts w:ascii="Arial" w:hAnsi="Arial" w:cs="Arial"/>
                <w:color w:val="000000"/>
                <w:bdr w:val="none" w:sz="0" w:space="0" w:color="auto" w:frame="1"/>
                <w:lang w:val="es-CO"/>
              </w:rPr>
              <w:t>39,41%</w:t>
            </w:r>
          </w:p>
        </w:tc>
      </w:tr>
    </w:tbl>
    <w:p w14:paraId="193DD7E9" w14:textId="169C191C" w:rsidR="00FE781C" w:rsidRPr="00106F94" w:rsidRDefault="00FE781C" w:rsidP="00FE781C">
      <w:pPr>
        <w:shd w:val="clear" w:color="auto" w:fill="FEFEFE"/>
        <w:spacing w:after="0" w:line="240" w:lineRule="auto"/>
        <w:jc w:val="both"/>
        <w:rPr>
          <w:rFonts w:ascii="Arial" w:eastAsia="Times New Roman" w:hAnsi="Arial" w:cs="Arial"/>
          <w:color w:val="0A0A0A"/>
          <w:sz w:val="24"/>
          <w:szCs w:val="24"/>
        </w:rPr>
      </w:pPr>
    </w:p>
    <w:p w14:paraId="7490B991" w14:textId="77777777" w:rsidR="00FE781C" w:rsidRPr="00106F94" w:rsidRDefault="00FE781C" w:rsidP="00FE781C">
      <w:pPr>
        <w:shd w:val="clear" w:color="auto" w:fill="FEFEFE"/>
        <w:spacing w:after="0" w:line="240" w:lineRule="auto"/>
        <w:ind w:left="720"/>
        <w:rPr>
          <w:rFonts w:ascii="Arial" w:eastAsia="Times New Roman" w:hAnsi="Arial" w:cs="Arial"/>
          <w:color w:val="0A0A0A"/>
          <w:sz w:val="24"/>
          <w:szCs w:val="24"/>
        </w:rPr>
      </w:pPr>
      <w:r w:rsidRPr="00106F94">
        <w:rPr>
          <w:rFonts w:ascii="Arial" w:eastAsia="Times New Roman" w:hAnsi="Arial" w:cs="Arial"/>
          <w:sz w:val="24"/>
          <w:szCs w:val="24"/>
        </w:rPr>
        <w:t xml:space="preserve">                                                                                                        </w:t>
      </w:r>
    </w:p>
    <w:p w14:paraId="6F2BEB28" w14:textId="77777777" w:rsidR="00FE781C" w:rsidRPr="00106F94" w:rsidRDefault="00FE781C" w:rsidP="00FE781C">
      <w:pPr>
        <w:pStyle w:val="Prrafodelista"/>
        <w:numPr>
          <w:ilvl w:val="1"/>
          <w:numId w:val="39"/>
        </w:numPr>
        <w:pBdr>
          <w:top w:val="nil"/>
          <w:left w:val="nil"/>
          <w:bottom w:val="nil"/>
          <w:right w:val="nil"/>
          <w:between w:val="nil"/>
        </w:pBdr>
        <w:spacing w:after="0" w:line="240" w:lineRule="auto"/>
        <w:ind w:left="284" w:hanging="426"/>
        <w:jc w:val="both"/>
        <w:rPr>
          <w:rFonts w:ascii="Arial" w:eastAsia="Times New Roman" w:hAnsi="Arial" w:cs="Arial"/>
          <w:color w:val="000000"/>
          <w:sz w:val="24"/>
          <w:szCs w:val="24"/>
        </w:rPr>
      </w:pPr>
      <w:r w:rsidRPr="00106F94">
        <w:rPr>
          <w:rFonts w:ascii="Arial" w:eastAsia="Times New Roman" w:hAnsi="Arial" w:cs="Arial"/>
          <w:b/>
          <w:color w:val="000000"/>
          <w:sz w:val="24"/>
          <w:szCs w:val="24"/>
        </w:rPr>
        <w:t xml:space="preserve">Marco legal y constitucional </w:t>
      </w:r>
    </w:p>
    <w:p w14:paraId="02E94490"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color w:val="000000"/>
          <w:sz w:val="24"/>
          <w:szCs w:val="24"/>
        </w:rPr>
      </w:pPr>
    </w:p>
    <w:p w14:paraId="49F7F27F" w14:textId="77777777" w:rsidR="00FE781C" w:rsidRPr="00106F94" w:rsidRDefault="00FE781C" w:rsidP="00FE781C">
      <w:pPr>
        <w:jc w:val="both"/>
        <w:rPr>
          <w:rFonts w:ascii="Arial" w:eastAsia="Arial" w:hAnsi="Arial" w:cs="Arial"/>
          <w:sz w:val="24"/>
          <w:szCs w:val="24"/>
        </w:rPr>
      </w:pPr>
      <w:r w:rsidRPr="00106F94">
        <w:rPr>
          <w:rFonts w:ascii="Arial" w:eastAsia="Arial" w:hAnsi="Arial" w:cs="Arial"/>
          <w:sz w:val="24"/>
          <w:szCs w:val="24"/>
        </w:rPr>
        <w:t xml:space="preserve">La propuesta que trae ahora, tiene fundamento en la multiplicidad de decretos que el Gobierno Nacional expidió con motivo de la declaratoria de Emergencia Económica, Social y Ecológica, como también, en el estudio jurisdiccional realizado por la Corte Constitucional, en cumplimiento de la Carta Superior. </w:t>
      </w:r>
    </w:p>
    <w:p w14:paraId="481ED618" w14:textId="77777777" w:rsidR="00FE781C" w:rsidRPr="00106F94" w:rsidRDefault="00FE781C" w:rsidP="00FE781C">
      <w:pPr>
        <w:jc w:val="both"/>
        <w:rPr>
          <w:rFonts w:ascii="Arial" w:eastAsia="Arial" w:hAnsi="Arial" w:cs="Arial"/>
          <w:sz w:val="24"/>
          <w:szCs w:val="24"/>
        </w:rPr>
      </w:pPr>
      <w:r w:rsidRPr="00106F94">
        <w:rPr>
          <w:rFonts w:ascii="Arial" w:hAnsi="Arial" w:cs="Arial"/>
          <w:sz w:val="24"/>
          <w:szCs w:val="24"/>
        </w:rPr>
        <w:t xml:space="preserve">Como se indicó anteriormente, las medidas que se pretenden lograr con este proyecto de ley, responden a hechos y necesidades que han sido reconocidas por el Gobierno Nacional, a saber, la crisis económica, el aumento del desempleo, la incapacidad de cumplir con obligaciones financieras y la disminución de ingresos. Para tratar conjurar esas dificultades, en principio, se invocó el estado de excepción de emergencia económica, social y económica y, consecuentemente, una serie de decretos con disposiciones que no se alejan de lo que se pretende establecer en este proyecto de ley.   </w:t>
      </w:r>
    </w:p>
    <w:p w14:paraId="62082D09" w14:textId="77777777" w:rsidR="00FE781C" w:rsidRPr="00106F94" w:rsidRDefault="00FE781C" w:rsidP="00FE781C">
      <w:pPr>
        <w:pStyle w:val="Default"/>
        <w:spacing w:line="276" w:lineRule="auto"/>
        <w:jc w:val="both"/>
        <w:rPr>
          <w:rFonts w:ascii="Arial" w:hAnsi="Arial" w:cs="Arial"/>
          <w:color w:val="auto"/>
          <w:lang w:val="es-ES"/>
        </w:rPr>
      </w:pPr>
      <w:r w:rsidRPr="00106F94">
        <w:rPr>
          <w:rFonts w:ascii="Arial" w:hAnsi="Arial" w:cs="Arial"/>
          <w:color w:val="auto"/>
          <w:lang w:val="es-ES"/>
        </w:rPr>
        <w:t xml:space="preserve">En entendimiento de la coyuntura sobreviniente, la Superintendencia Financiera emitió la </w:t>
      </w:r>
      <w:r w:rsidRPr="00106F94">
        <w:rPr>
          <w:rFonts w:ascii="Arial" w:hAnsi="Arial" w:cs="Arial"/>
          <w:b/>
          <w:color w:val="auto"/>
          <w:lang w:val="es-ES"/>
        </w:rPr>
        <w:t>Circular 07 del 11 de marzo del 2020</w:t>
      </w:r>
      <w:r w:rsidRPr="00106F94">
        <w:rPr>
          <w:rFonts w:ascii="Arial" w:hAnsi="Arial" w:cs="Arial"/>
          <w:color w:val="auto"/>
          <w:lang w:val="es-ES"/>
        </w:rPr>
        <w:t xml:space="preserve"> por medio de la cual impartió instrucciones a las entidades que regula, para mitigar los efectos de la emergencia sanitaria. En ella, instó a los establecimientos de crédito a desarrollar políticas de identificación de clientes que requirieran de medidas especiales tales como periodos de gracia sin aumentar el factor de riesgo del deudor, conservación de la calificación obtenida con anterioridad al 29 de febrero del 2020, no aplicar restricción </w:t>
      </w:r>
      <w:r w:rsidRPr="00106F94">
        <w:rPr>
          <w:rFonts w:ascii="Arial" w:hAnsi="Arial" w:cs="Arial"/>
          <w:color w:val="auto"/>
          <w:lang w:val="es-ES"/>
        </w:rPr>
        <w:lastRenderedPageBreak/>
        <w:t xml:space="preserve">de cupos en tarjetas de crédito, por un periodo de 120 días calendario los créditos que al 29 de febrero de 2020 se hubieran modificado o reestructurado y que como consecuencia de la coyuntura incurrieran en mora, no se modificarían las calificaciones, entre otras disposiciones necesarias para los deudores. También, se encuentra la medida de periodos de gracia para operaciones destinadas a la financiación de la adquisición de vivienda.  En esa misma línea, se debe exponer lo contenido en el </w:t>
      </w:r>
      <w:r w:rsidRPr="00106F94">
        <w:rPr>
          <w:rFonts w:ascii="Arial" w:hAnsi="Arial" w:cs="Arial"/>
          <w:b/>
          <w:color w:val="auto"/>
          <w:lang w:val="es-ES"/>
        </w:rPr>
        <w:t>Decreto 493 del 29 de marzo del 2020</w:t>
      </w:r>
      <w:r w:rsidRPr="00106F94">
        <w:rPr>
          <w:rFonts w:ascii="Arial" w:hAnsi="Arial" w:cs="Arial"/>
          <w:color w:val="auto"/>
          <w:lang w:val="es-ES"/>
        </w:rPr>
        <w:t>, por medio del cual se hace otorgamiento de periodos de gracia en capital y en intereses en los créditos para adquirir vivienda o contratos de leasing habitacional que, además, cuenten con dicho beneficio de cobertura de tasa de interés. Esa misma</w:t>
      </w:r>
      <w:r w:rsidRPr="00106F94">
        <w:rPr>
          <w:rFonts w:ascii="Arial" w:hAnsi="Arial" w:cs="Arial"/>
          <w:shd w:val="clear" w:color="auto" w:fill="FFFFFF"/>
          <w:lang w:val="es-ES"/>
        </w:rPr>
        <w:t xml:space="preserve"> Superintendencia, emitió la </w:t>
      </w:r>
      <w:r w:rsidRPr="00106F94">
        <w:rPr>
          <w:rFonts w:ascii="Arial" w:hAnsi="Arial" w:cs="Arial"/>
          <w:b/>
          <w:shd w:val="clear" w:color="auto" w:fill="FFFFFF"/>
          <w:lang w:val="es-ES"/>
        </w:rPr>
        <w:t>Circular 014 de 30 de marzo</w:t>
      </w:r>
      <w:r w:rsidRPr="00106F94">
        <w:rPr>
          <w:rFonts w:ascii="Arial" w:hAnsi="Arial" w:cs="Arial"/>
          <w:shd w:val="clear" w:color="auto" w:fill="FFFFFF"/>
          <w:lang w:val="es-ES"/>
        </w:rPr>
        <w:t xml:space="preserve">, indicando, las entidades que modificaran las condiciones de los créditos debían abstenerse de, entre otras cosas, aumentar las tasas de interés, utilizar sistemas que capitalizaran intereses o generar intereses sobre conceptos diferentes a la obligación. </w:t>
      </w:r>
    </w:p>
    <w:p w14:paraId="6EB495B2" w14:textId="77777777" w:rsidR="00FE781C" w:rsidRPr="00106F94" w:rsidRDefault="00FE781C" w:rsidP="00FE781C">
      <w:pPr>
        <w:jc w:val="both"/>
        <w:rPr>
          <w:rFonts w:ascii="Arial" w:hAnsi="Arial" w:cs="Arial"/>
          <w:sz w:val="24"/>
          <w:szCs w:val="24"/>
        </w:rPr>
      </w:pPr>
    </w:p>
    <w:p w14:paraId="20DFCF4B"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Se encuentra también el precedente del </w:t>
      </w:r>
      <w:r w:rsidRPr="00106F94">
        <w:rPr>
          <w:rFonts w:ascii="Arial" w:hAnsi="Arial" w:cs="Arial"/>
          <w:b/>
          <w:sz w:val="24"/>
          <w:szCs w:val="24"/>
        </w:rPr>
        <w:t>Decreto 467 del 23 de marzo del 2020</w:t>
      </w:r>
      <w:r w:rsidRPr="00106F94">
        <w:rPr>
          <w:rFonts w:ascii="Arial" w:hAnsi="Arial" w:cs="Arial"/>
          <w:sz w:val="24"/>
          <w:szCs w:val="24"/>
        </w:rPr>
        <w:t xml:space="preserve">, por medio del cual se autorizaron una serie de alivios financieros para los beneficiarios de créditos con el ICETEX. Allí se determinó que habría un </w:t>
      </w:r>
      <w:r w:rsidRPr="00106F94">
        <w:rPr>
          <w:rFonts w:ascii="Arial" w:hAnsi="Arial" w:cs="Arial"/>
          <w:bCs/>
          <w:sz w:val="24"/>
          <w:szCs w:val="24"/>
        </w:rPr>
        <w:t xml:space="preserve">período de gracia en cuotas vigentes, reducción transitoria de tasa de intereses al IPC; ampliación de plazos en los planes de amortización y otorgamiento de nuevos créditos para el segundo semestre del año 2020 sin deudor solidario. Con esta disposición, se procuró ayudar a más de </w:t>
      </w:r>
      <w:r w:rsidRPr="00106F94">
        <w:rPr>
          <w:rFonts w:ascii="Arial" w:hAnsi="Arial" w:cs="Arial"/>
          <w:sz w:val="24"/>
          <w:szCs w:val="24"/>
        </w:rPr>
        <w:t>100.000 beneficiarios, de estos, se dio prioridad a quienes estuvieran en condiciones de vulnerabilidad, entre las que se resaltan la disminución temporal o definitiva de su fuente de ingresos o problemas de salud derivados de la ocurrencia de la pandemia COVID-19 en el territorio nacional.</w:t>
      </w:r>
    </w:p>
    <w:p w14:paraId="45202D03"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En el caso del </w:t>
      </w:r>
      <w:r w:rsidRPr="00106F94">
        <w:rPr>
          <w:rFonts w:ascii="Arial" w:hAnsi="Arial" w:cs="Arial"/>
          <w:b/>
          <w:sz w:val="24"/>
          <w:szCs w:val="24"/>
        </w:rPr>
        <w:t>Decreto 558 del 2020</w:t>
      </w:r>
      <w:r w:rsidRPr="00106F94">
        <w:rPr>
          <w:rFonts w:ascii="Arial" w:hAnsi="Arial" w:cs="Arial"/>
          <w:sz w:val="24"/>
          <w:szCs w:val="24"/>
        </w:rPr>
        <w:t xml:space="preserve">, que contempló la posibilidad de que los trabajadores aportaran al Sistema General de pensiones un monto inferior, esto es 3%, en contraste con el 16% que en la normalidad de exige. Aun cuando lo relativo a este artículo fue declarado inexequible por la Corte Constitucional a través de la sentencia </w:t>
      </w:r>
      <w:r w:rsidRPr="00106F94">
        <w:rPr>
          <w:rFonts w:ascii="Arial" w:hAnsi="Arial" w:cs="Arial"/>
          <w:b/>
          <w:sz w:val="24"/>
          <w:szCs w:val="24"/>
        </w:rPr>
        <w:t>C-258 del 2020</w:t>
      </w:r>
      <w:r w:rsidRPr="00106F94">
        <w:rPr>
          <w:rFonts w:ascii="Arial" w:hAnsi="Arial" w:cs="Arial"/>
          <w:sz w:val="24"/>
          <w:szCs w:val="24"/>
        </w:rPr>
        <w:t xml:space="preserve">, se debe entender que la voluntad del Gobierno Nacional que era entender que los empleadores habían realizado un gran esfuerzo para mantener el pago de la nómina de los empleos que generan y, en ese sentido, </w:t>
      </w:r>
      <w:r w:rsidRPr="00106F94">
        <w:rPr>
          <w:rFonts w:ascii="Arial" w:hAnsi="Arial" w:cs="Arial"/>
          <w:sz w:val="24"/>
          <w:szCs w:val="24"/>
        </w:rPr>
        <w:lastRenderedPageBreak/>
        <w:t xml:space="preserve">disminuir sus cargas económicas. Si bien es cierto que, en esta oportunidad la medida, al criterio de la Corte Constitucional, desmejoraba los derechos sociales de los trabajadores, si se entendía que aliviaba tanto a independientes como a empleados en liquidez económica.  </w:t>
      </w:r>
    </w:p>
    <w:p w14:paraId="7E6BB1D7"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Por otra parte, en la búsqueda de opciones que le hicieran frete a la crisis económica, se expidió el </w:t>
      </w:r>
      <w:r w:rsidRPr="00106F94">
        <w:rPr>
          <w:rFonts w:ascii="Arial" w:hAnsi="Arial" w:cs="Arial"/>
          <w:b/>
          <w:sz w:val="24"/>
          <w:szCs w:val="24"/>
        </w:rPr>
        <w:t>Decreto 560 de 2020</w:t>
      </w:r>
      <w:r w:rsidRPr="00106F94">
        <w:rPr>
          <w:rFonts w:ascii="Arial" w:hAnsi="Arial" w:cs="Arial"/>
          <w:sz w:val="24"/>
          <w:szCs w:val="24"/>
        </w:rPr>
        <w:t xml:space="preserve">, por medio del cual se estimó necesario reducir los procedimientos establecidos para el régimen de insolvencia empresarial. Sus cuatro ejes se centraron en 1) negociar más rápidamente los procesos, 2) mecanismos de alivios financieros y de reactivación, 3) beneficios tributarios y, 4) suspensión de normas. Este proceso, en tiempos de normalidad, podría durar 20 meses y debía concluir con un acuerdo que sería objeto de validación por un juez, por la Superintendencia de Sociedades o por un árbitro, en caso de que exista pacto.  </w:t>
      </w:r>
    </w:p>
    <w:p w14:paraId="04927893" w14:textId="77777777" w:rsidR="00FE781C" w:rsidRPr="00106F94" w:rsidRDefault="00FE781C" w:rsidP="00FE781C">
      <w:pPr>
        <w:spacing w:after="0"/>
        <w:jc w:val="both"/>
        <w:rPr>
          <w:rFonts w:ascii="Arial" w:hAnsi="Arial" w:cs="Arial"/>
          <w:sz w:val="24"/>
          <w:szCs w:val="24"/>
        </w:rPr>
      </w:pPr>
    </w:p>
    <w:p w14:paraId="02284F6F"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Así entonces, se determinó que era necesario y conveniente establecer mecanismos transitorios de recuperación empresarial que no requirieran de la intervención judicial, que permitiera a los deudores afectados con ocasión de la pandemia, renegociar con sus acreedores los términos de las obligaciones para, así, salvaguardar su actividad económica y tratar de mantener el empleo. Ahora, en la medida en que también existía indisponibilidad del servicio judicial, se consideró necesario incentivar la implementación de nuevas fórmulas de arreglos entre deudores y acreedores con fórmulas como capitalizaciones de deuda, descarga de pasivos y pactos de deuda sostenible que permitiera a ambas partes resolver la situación particular, y así evitar llegar a la liquidación y al agravante de la perdida de los empleos. En la parte motiva de este Decreto, el gobierno nacional también afirmó lo previsible que sería que una cantidad considerable de deudores no pudiera seguir, como de costumbre, cumpliendo con las obligaciones adquiridas. Resultaba evidente que la situación económica tornaría en insostenible el pago periódico de las obligaciones financieras de los hogares colombianos, que la liquidez se vería afectada y que quienes primero sufrirían el incumplimiento, serían los acreedores.    </w:t>
      </w:r>
    </w:p>
    <w:p w14:paraId="36E5B591" w14:textId="08DC91DD"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Otro ejemplo se encuentra en el </w:t>
      </w:r>
      <w:r w:rsidRPr="00106F94">
        <w:rPr>
          <w:rFonts w:ascii="Arial" w:hAnsi="Arial" w:cs="Arial"/>
          <w:b/>
          <w:sz w:val="24"/>
          <w:szCs w:val="24"/>
        </w:rPr>
        <w:t>Decreto 579 del 15 de abril del 2020</w:t>
      </w:r>
      <w:r w:rsidRPr="00106F94">
        <w:rPr>
          <w:rFonts w:ascii="Arial" w:hAnsi="Arial" w:cs="Arial"/>
          <w:sz w:val="24"/>
          <w:szCs w:val="24"/>
        </w:rPr>
        <w:t xml:space="preserve">, por medio del cual, atendiendo las reconocidas razones por las cuales los ciudadanos podrían incurrir en mora en diferentes obligaciones, dictó algunos lineamientos para que </w:t>
      </w:r>
      <w:r w:rsidRPr="00106F94">
        <w:rPr>
          <w:rFonts w:ascii="Arial" w:hAnsi="Arial" w:cs="Arial"/>
          <w:sz w:val="24"/>
          <w:szCs w:val="24"/>
        </w:rPr>
        <w:lastRenderedPageBreak/>
        <w:t xml:space="preserve">quienes se estuvieran viendo en la obligación de terminar un contrato de arrendamiento, pudieran llegar al mejor acuerdo. Aunado a ello, y presagiando que, por los incumplimientos contractuales masivos, se iniciarían procesos judiciales de restituciones de inmuebles en aplicación del artículo 384 del Código General del Proceso y, en ese sentido los desalojos a cargo de la Policía Nacional  (en atención a los dispuesto en el Artículo 79 de la Ley 1801 de 2016)  también se suspendieron los efectos de esos incumplimientos, de manera que nadie, mientras estuviera vigente la orden, podría ser privado de tener un techo. Esta determinación, fue necesaria y oportuna pues estaba claro y se había replicado por el mundo, que la crisis económica iría en aumento y que estas situaciones serían más frecuentes con el pasar de la emergencia. Así pues, en ejercicio de un juicio de ponderación, y con la intención de garantizar el bien superior, la salud y consecutivamente la vida, se impidió que las familias colombianas quedaran desprotegidas, poniendo en segundo orden de relevancia las decisiones judiciales y policiales de restitución de inmuebles. </w:t>
      </w:r>
    </w:p>
    <w:p w14:paraId="25734FAC" w14:textId="77777777" w:rsidR="00FE781C" w:rsidRPr="00106F94" w:rsidRDefault="00FE781C" w:rsidP="00FE781C">
      <w:pPr>
        <w:spacing w:after="0"/>
        <w:jc w:val="both"/>
        <w:rPr>
          <w:rFonts w:ascii="Arial" w:hAnsi="Arial" w:cs="Arial"/>
          <w:sz w:val="24"/>
          <w:szCs w:val="24"/>
        </w:rPr>
      </w:pPr>
    </w:p>
    <w:p w14:paraId="53C444B6"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De lo anteriormente expuesto se colige, que todas las decisiones tomadas a lo largo de la emergencia, han tenido la misma mirada entendida de las resultas de la pandemia. Desde diferentes ópticas, se ha tratado de buscarle soluciones reales a las dificultades que surgieron como consecuencia de la única medida pronta y efectiva que le restaba fuerza a la expansión de virus. Por tanto, bajo la misma argumentación, se considera necesaria y acertada en la medida en que aquí convergen los esfuerzos que se han realizado para conjurar los efectos de la crisis. Se ha entendido y justificado el que, en la coyuntura actual, las familias colombianas incurran en mora y requieran liquidez en sus finanzas, por tanto, no deben imponerse cargas superiores sobre una obligación que se deriva de una situación ajena a la voluntad del deudor, de la que, además, se encuentra en común denominador de la población. </w:t>
      </w:r>
    </w:p>
    <w:p w14:paraId="56C8975D" w14:textId="379CE6BA" w:rsidR="00FE781C" w:rsidRPr="00106F94" w:rsidRDefault="00FE781C" w:rsidP="00FE781C">
      <w:pPr>
        <w:pBdr>
          <w:top w:val="nil"/>
          <w:left w:val="nil"/>
          <w:bottom w:val="nil"/>
          <w:right w:val="nil"/>
          <w:between w:val="nil"/>
        </w:pBdr>
        <w:spacing w:line="240" w:lineRule="auto"/>
        <w:jc w:val="both"/>
        <w:rPr>
          <w:rFonts w:ascii="Arial" w:eastAsia="Times New Roman" w:hAnsi="Arial" w:cs="Arial"/>
          <w:color w:val="000000"/>
          <w:sz w:val="24"/>
          <w:szCs w:val="24"/>
        </w:rPr>
      </w:pPr>
    </w:p>
    <w:p w14:paraId="68639CAE" w14:textId="380091AF" w:rsidR="00FE781C" w:rsidRPr="0058014B" w:rsidRDefault="00FE781C" w:rsidP="0058014B">
      <w:pPr>
        <w:pStyle w:val="Prrafodelista"/>
        <w:numPr>
          <w:ilvl w:val="1"/>
          <w:numId w:val="39"/>
        </w:numPr>
        <w:pBdr>
          <w:top w:val="nil"/>
          <w:left w:val="nil"/>
          <w:bottom w:val="nil"/>
          <w:right w:val="nil"/>
          <w:between w:val="nil"/>
        </w:pBdr>
        <w:spacing w:after="160" w:line="240" w:lineRule="auto"/>
        <w:jc w:val="both"/>
        <w:rPr>
          <w:rFonts w:ascii="Arial" w:eastAsia="Times New Roman" w:hAnsi="Arial" w:cs="Arial"/>
          <w:color w:val="000000"/>
          <w:sz w:val="24"/>
          <w:szCs w:val="24"/>
        </w:rPr>
      </w:pPr>
      <w:r w:rsidRPr="0058014B">
        <w:rPr>
          <w:rFonts w:ascii="Arial" w:eastAsia="Times New Roman" w:hAnsi="Arial" w:cs="Arial"/>
          <w:b/>
          <w:color w:val="000000"/>
          <w:sz w:val="24"/>
          <w:szCs w:val="24"/>
        </w:rPr>
        <w:t>Bibliografía</w:t>
      </w:r>
    </w:p>
    <w:p w14:paraId="49E4D9AF" w14:textId="5B0AEB34" w:rsidR="00FE781C" w:rsidRPr="009B56F5" w:rsidRDefault="00FE781C" w:rsidP="00FE781C">
      <w:pPr>
        <w:pStyle w:val="xmsonormal"/>
        <w:numPr>
          <w:ilvl w:val="0"/>
          <w:numId w:val="41"/>
        </w:numPr>
        <w:shd w:val="clear" w:color="auto" w:fill="FFFFFF"/>
        <w:spacing w:before="0" w:beforeAutospacing="0" w:after="0" w:afterAutospacing="0" w:line="235" w:lineRule="atLeast"/>
        <w:jc w:val="both"/>
        <w:rPr>
          <w:rFonts w:ascii="Arial" w:hAnsi="Arial" w:cs="Arial"/>
          <w:color w:val="000000"/>
          <w:lang w:val="es-ES"/>
        </w:rPr>
      </w:pPr>
      <w:r w:rsidRPr="009B56F5">
        <w:rPr>
          <w:rFonts w:ascii="Arial" w:hAnsi="Arial" w:cs="Arial"/>
          <w:bdr w:val="none" w:sz="0" w:space="0" w:color="auto" w:frame="1"/>
          <w:lang w:val="es-ES"/>
        </w:rPr>
        <w:t>https://www.superfinanciera.gov.co/descargas?com=institucional&amp;name=pubFile1005089&amp;downloadname=icv_cas_historia.xls</w:t>
      </w:r>
      <w:r w:rsidRPr="009B56F5">
        <w:rPr>
          <w:rFonts w:ascii="Arial" w:hAnsi="Arial" w:cs="Arial"/>
          <w:color w:val="000000"/>
          <w:bdr w:val="none" w:sz="0" w:space="0" w:color="auto" w:frame="1"/>
          <w:lang w:val="es-ES"/>
        </w:rPr>
        <w:t> </w:t>
      </w:r>
    </w:p>
    <w:p w14:paraId="0A7A0B45" w14:textId="60A0BE1F" w:rsidR="00FE781C" w:rsidRPr="009B56F5" w:rsidRDefault="00FE781C" w:rsidP="00FE781C">
      <w:pPr>
        <w:pStyle w:val="Prrafodelista"/>
        <w:numPr>
          <w:ilvl w:val="0"/>
          <w:numId w:val="41"/>
        </w:numPr>
        <w:pBdr>
          <w:top w:val="nil"/>
          <w:left w:val="nil"/>
          <w:bottom w:val="nil"/>
          <w:right w:val="nil"/>
          <w:between w:val="nil"/>
        </w:pBdr>
        <w:spacing w:after="160" w:line="240" w:lineRule="auto"/>
        <w:jc w:val="both"/>
        <w:rPr>
          <w:rFonts w:ascii="Arial" w:eastAsia="Times New Roman" w:hAnsi="Arial" w:cs="Arial"/>
          <w:b/>
          <w:color w:val="000000"/>
          <w:sz w:val="24"/>
          <w:szCs w:val="24"/>
        </w:rPr>
      </w:pPr>
      <w:r w:rsidRPr="009B56F5">
        <w:rPr>
          <w:rFonts w:ascii="Arial" w:hAnsi="Arial" w:cs="Arial"/>
          <w:sz w:val="24"/>
          <w:szCs w:val="24"/>
          <w:bdr w:val="none" w:sz="0" w:space="0" w:color="auto" w:frame="1"/>
        </w:rPr>
        <w:lastRenderedPageBreak/>
        <w:t>https://www.valoraanalitik.com/2021/02/08/de-cada-100-cartera-bancaria-colombia-95-siguen-sin-problemas-de-mora/#:~:text=Seg%C3%BAn%20Asobancaria%2C%20la%20cartera%20vencida,billones%20en%20el%20periodo%20se%C3%B1alado.&amp;text=El%20indicador%20de%20la%20calidad,aumento%20de%200%2C6%20%25</w:t>
      </w:r>
      <w:r w:rsidRPr="009B56F5">
        <w:rPr>
          <w:rFonts w:ascii="Arial" w:hAnsi="Arial" w:cs="Arial"/>
          <w:color w:val="000000"/>
          <w:sz w:val="24"/>
          <w:szCs w:val="24"/>
          <w:bdr w:val="none" w:sz="0" w:space="0" w:color="auto" w:frame="1"/>
        </w:rPr>
        <w:t>. </w:t>
      </w:r>
    </w:p>
    <w:p w14:paraId="2FFB3748" w14:textId="4172BFB3" w:rsidR="00FE781C" w:rsidRPr="009B56F5" w:rsidRDefault="00FE781C" w:rsidP="00FE781C">
      <w:pPr>
        <w:pStyle w:val="xmsolistparagraph"/>
        <w:numPr>
          <w:ilvl w:val="0"/>
          <w:numId w:val="41"/>
        </w:numPr>
        <w:shd w:val="clear" w:color="auto" w:fill="FFFFFF"/>
        <w:spacing w:before="0" w:beforeAutospacing="0" w:after="160" w:afterAutospacing="0" w:line="235" w:lineRule="atLeast"/>
        <w:jc w:val="both"/>
        <w:rPr>
          <w:rFonts w:ascii="Arial" w:hAnsi="Arial" w:cs="Arial"/>
        </w:rPr>
      </w:pPr>
      <w:r w:rsidRPr="009B56F5">
        <w:rPr>
          <w:rFonts w:ascii="Arial" w:hAnsi="Arial" w:cs="Arial"/>
          <w:bdr w:val="none" w:sz="0" w:space="0" w:color="auto" w:frame="1"/>
          <w:lang w:val="es-ES"/>
        </w:rPr>
        <w:t>https://www.infobae.com/america/colombia/2020/12/24/la-cartera-en-mora-de-los-colombianos-con-el-sistema-financiero-alcanzo-los-263-billones/</w:t>
      </w:r>
      <w:r w:rsidRPr="009B56F5">
        <w:rPr>
          <w:rFonts w:ascii="Arial" w:hAnsi="Arial" w:cs="Arial"/>
          <w:color w:val="000000"/>
          <w:bdr w:val="none" w:sz="0" w:space="0" w:color="auto" w:frame="1"/>
          <w:lang w:val="es-ES"/>
        </w:rPr>
        <w:t> </w:t>
      </w:r>
    </w:p>
    <w:p w14:paraId="53849B8C" w14:textId="763A204F" w:rsidR="00FE781C" w:rsidRPr="009B56F5" w:rsidRDefault="00FE781C" w:rsidP="00FE781C">
      <w:pPr>
        <w:pStyle w:val="xmsonormal"/>
        <w:numPr>
          <w:ilvl w:val="0"/>
          <w:numId w:val="41"/>
        </w:numPr>
        <w:shd w:val="clear" w:color="auto" w:fill="FFFFFF"/>
        <w:spacing w:before="0" w:beforeAutospacing="0" w:after="160" w:afterAutospacing="0"/>
        <w:rPr>
          <w:rFonts w:ascii="Arial" w:hAnsi="Arial" w:cs="Arial"/>
          <w:color w:val="000000"/>
          <w:lang w:val="es-ES"/>
        </w:rPr>
      </w:pPr>
      <w:r w:rsidRPr="009B56F5">
        <w:rPr>
          <w:rFonts w:ascii="Arial" w:hAnsi="Arial" w:cs="Arial"/>
          <w:bdr w:val="none" w:sz="0" w:space="0" w:color="auto" w:frame="1"/>
          <w:lang w:val="es-ES"/>
        </w:rPr>
        <w:t>https://www.semana.com/inversionistas/articulo/saldo-de-cartera-bruta-de-colombia-en-agosto-de-2020/304371/</w:t>
      </w:r>
      <w:r w:rsidRPr="009B56F5">
        <w:rPr>
          <w:rFonts w:ascii="Arial" w:hAnsi="Arial" w:cs="Arial"/>
          <w:b/>
          <w:bCs/>
          <w:color w:val="000000"/>
          <w:bdr w:val="none" w:sz="0" w:space="0" w:color="auto" w:frame="1"/>
          <w:lang w:val="es-ES"/>
        </w:rPr>
        <w:t> </w:t>
      </w:r>
    </w:p>
    <w:p w14:paraId="67E7FFEA" w14:textId="77777777" w:rsidR="00FE781C" w:rsidRPr="00106F94" w:rsidRDefault="00FE781C" w:rsidP="00FE781C">
      <w:pPr>
        <w:pBdr>
          <w:top w:val="nil"/>
          <w:left w:val="nil"/>
          <w:bottom w:val="nil"/>
          <w:right w:val="nil"/>
          <w:between w:val="nil"/>
        </w:pBdr>
        <w:spacing w:after="160" w:line="240" w:lineRule="auto"/>
        <w:jc w:val="both"/>
        <w:rPr>
          <w:rFonts w:ascii="Arial" w:eastAsia="Times New Roman" w:hAnsi="Arial" w:cs="Arial"/>
          <w:color w:val="000000"/>
          <w:sz w:val="24"/>
          <w:szCs w:val="24"/>
        </w:rPr>
      </w:pPr>
    </w:p>
    <w:p w14:paraId="507EAD81" w14:textId="45170E8C" w:rsidR="00FE781C" w:rsidRPr="0058014B" w:rsidRDefault="0058014B" w:rsidP="0058014B">
      <w:pPr>
        <w:pBdr>
          <w:top w:val="nil"/>
          <w:left w:val="nil"/>
          <w:bottom w:val="nil"/>
          <w:right w:val="nil"/>
          <w:between w:val="nil"/>
        </w:pBdr>
        <w:spacing w:after="0" w:line="240" w:lineRule="auto"/>
        <w:ind w:left="360"/>
        <w:jc w:val="both"/>
        <w:rPr>
          <w:rFonts w:ascii="Arial" w:eastAsia="Times New Roman" w:hAnsi="Arial" w:cs="Arial"/>
          <w:b/>
          <w:color w:val="000000"/>
          <w:sz w:val="24"/>
          <w:szCs w:val="24"/>
        </w:rPr>
      </w:pPr>
      <w:r>
        <w:rPr>
          <w:rFonts w:ascii="Arial" w:eastAsia="Times New Roman" w:hAnsi="Arial" w:cs="Arial"/>
          <w:b/>
          <w:sz w:val="24"/>
          <w:szCs w:val="24"/>
        </w:rPr>
        <w:t xml:space="preserve">VI. </w:t>
      </w:r>
      <w:r w:rsidR="00FE781C" w:rsidRPr="0058014B">
        <w:rPr>
          <w:rFonts w:ascii="Arial" w:eastAsia="Times New Roman" w:hAnsi="Arial" w:cs="Arial"/>
          <w:b/>
          <w:sz w:val="24"/>
          <w:szCs w:val="24"/>
        </w:rPr>
        <w:t>MODIFICACIONES</w:t>
      </w:r>
      <w:r w:rsidR="00D25A8D" w:rsidRPr="0058014B">
        <w:rPr>
          <w:rFonts w:ascii="Arial" w:eastAsia="Times New Roman" w:hAnsi="Arial" w:cs="Arial"/>
          <w:b/>
          <w:sz w:val="24"/>
          <w:szCs w:val="24"/>
        </w:rPr>
        <w:t xml:space="preserve"> REALIZADAS EN PRIMER DEBATE</w:t>
      </w:r>
    </w:p>
    <w:p w14:paraId="26D31617"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0B033D3C"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78"/>
        <w:gridCol w:w="3178"/>
        <w:gridCol w:w="2462"/>
      </w:tblGrid>
      <w:tr w:rsidR="00FE781C" w:rsidRPr="00106F94" w14:paraId="056C74B0" w14:textId="77777777" w:rsidTr="00D25A8D">
        <w:trPr>
          <w:tblHeader/>
        </w:trPr>
        <w:tc>
          <w:tcPr>
            <w:tcW w:w="1802" w:type="pct"/>
            <w:shd w:val="clear" w:color="auto" w:fill="F2F2F2" w:themeFill="background1" w:themeFillShade="F2"/>
            <w:tcMar>
              <w:top w:w="100" w:type="dxa"/>
              <w:left w:w="100" w:type="dxa"/>
              <w:bottom w:w="100" w:type="dxa"/>
              <w:right w:w="100" w:type="dxa"/>
            </w:tcMar>
          </w:tcPr>
          <w:p w14:paraId="1650E836" w14:textId="7BDB282F" w:rsidR="00FE781C" w:rsidRPr="00106F94" w:rsidRDefault="00D25A8D" w:rsidP="00EA1761">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106F94">
              <w:rPr>
                <w:rFonts w:ascii="Arial" w:eastAsia="Times New Roman" w:hAnsi="Arial" w:cs="Arial"/>
                <w:b/>
                <w:sz w:val="24"/>
                <w:szCs w:val="24"/>
              </w:rPr>
              <w:t>TEXTO PROPUESTO PRIMER DEBATE</w:t>
            </w:r>
          </w:p>
        </w:tc>
        <w:tc>
          <w:tcPr>
            <w:tcW w:w="1802" w:type="pct"/>
            <w:shd w:val="clear" w:color="auto" w:fill="F2F2F2" w:themeFill="background1" w:themeFillShade="F2"/>
            <w:tcMar>
              <w:top w:w="100" w:type="dxa"/>
              <w:left w:w="100" w:type="dxa"/>
              <w:bottom w:w="100" w:type="dxa"/>
              <w:right w:w="100" w:type="dxa"/>
            </w:tcMar>
          </w:tcPr>
          <w:p w14:paraId="38E9290C" w14:textId="7A029996" w:rsidR="00FE781C" w:rsidRPr="00106F94" w:rsidRDefault="00D25A8D" w:rsidP="00EA1761">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Pr>
                <w:rFonts w:ascii="Arial" w:eastAsia="Times New Roman" w:hAnsi="Arial" w:cs="Arial"/>
                <w:b/>
                <w:sz w:val="24"/>
                <w:szCs w:val="24"/>
              </w:rPr>
              <w:t>TEXTO APROBADO</w:t>
            </w:r>
            <w:r w:rsidRPr="00106F94">
              <w:rPr>
                <w:rFonts w:ascii="Arial" w:eastAsia="Times New Roman" w:hAnsi="Arial" w:cs="Arial"/>
                <w:b/>
                <w:sz w:val="24"/>
                <w:szCs w:val="24"/>
              </w:rPr>
              <w:t xml:space="preserve"> PRIMER DEBATE</w:t>
            </w:r>
          </w:p>
        </w:tc>
        <w:tc>
          <w:tcPr>
            <w:tcW w:w="1396" w:type="pct"/>
            <w:shd w:val="clear" w:color="auto" w:fill="F2F2F2" w:themeFill="background1" w:themeFillShade="F2"/>
            <w:tcMar>
              <w:top w:w="100" w:type="dxa"/>
              <w:left w:w="100" w:type="dxa"/>
              <w:bottom w:w="100" w:type="dxa"/>
              <w:right w:w="100" w:type="dxa"/>
            </w:tcMar>
            <w:vAlign w:val="center"/>
          </w:tcPr>
          <w:p w14:paraId="63D88B7F" w14:textId="77777777" w:rsidR="00FE781C" w:rsidRPr="00106F94" w:rsidRDefault="00FE781C" w:rsidP="00EA1761">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106F94">
              <w:rPr>
                <w:rFonts w:ascii="Arial" w:eastAsia="Times New Roman" w:hAnsi="Arial" w:cs="Arial"/>
                <w:b/>
                <w:sz w:val="24"/>
                <w:szCs w:val="24"/>
              </w:rPr>
              <w:t>OBSERVACIONES</w:t>
            </w:r>
          </w:p>
        </w:tc>
      </w:tr>
      <w:tr w:rsidR="00FE781C" w:rsidRPr="00106F94" w14:paraId="3B438A16" w14:textId="77777777" w:rsidTr="00D25A8D">
        <w:tc>
          <w:tcPr>
            <w:tcW w:w="1802" w:type="pct"/>
            <w:shd w:val="clear" w:color="auto" w:fill="auto"/>
            <w:tcMar>
              <w:top w:w="100" w:type="dxa"/>
              <w:left w:w="100" w:type="dxa"/>
              <w:bottom w:w="100" w:type="dxa"/>
              <w:right w:w="100" w:type="dxa"/>
            </w:tcMar>
          </w:tcPr>
          <w:p w14:paraId="5DFD6DB7"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ARTÍCULO 1°:</w:t>
            </w:r>
            <w:r w:rsidRPr="00106F94">
              <w:rPr>
                <w:rFonts w:ascii="Arial" w:hAnsi="Arial" w:cs="Arial"/>
                <w:sz w:val="24"/>
                <w:szCs w:val="24"/>
              </w:rPr>
              <w:t xml:space="preserve">  Adiciónese un artículo transitorio a la Ley 1564 de 2012 por medio de la cual se expidió el Código General del Proceso, el cual tendrá el siguiente tenor: </w:t>
            </w:r>
          </w:p>
          <w:p w14:paraId="28FA3B6D" w14:textId="24564277" w:rsidR="009B56F5" w:rsidRDefault="00A079EF" w:rsidP="00A079EF">
            <w:pPr>
              <w:jc w:val="both"/>
              <w:rPr>
                <w:rFonts w:ascii="Arial" w:hAnsi="Arial" w:cs="Arial"/>
                <w:b/>
                <w:strike/>
              </w:rPr>
            </w:pPr>
            <w:r>
              <w:rPr>
                <w:rFonts w:ascii="Arial" w:hAnsi="Arial" w:cs="Arial"/>
                <w:b/>
                <w:sz w:val="24"/>
                <w:szCs w:val="24"/>
              </w:rPr>
              <w:t>ARTÍCULO 4</w:t>
            </w:r>
            <w:r w:rsidRPr="00106F94">
              <w:rPr>
                <w:rFonts w:ascii="Arial" w:hAnsi="Arial" w:cs="Arial"/>
                <w:b/>
                <w:sz w:val="24"/>
                <w:szCs w:val="24"/>
              </w:rPr>
              <w:t>3</w:t>
            </w:r>
            <w:r>
              <w:rPr>
                <w:rFonts w:ascii="Arial" w:hAnsi="Arial" w:cs="Arial"/>
                <w:b/>
                <w:sz w:val="24"/>
                <w:szCs w:val="24"/>
              </w:rPr>
              <w:t>0</w:t>
            </w:r>
            <w:r w:rsidRPr="00106F94">
              <w:rPr>
                <w:rFonts w:ascii="Arial" w:hAnsi="Arial" w:cs="Arial"/>
                <w:b/>
                <w:sz w:val="24"/>
                <w:szCs w:val="24"/>
              </w:rPr>
              <w:t>A TRANSITORIO.</w:t>
            </w:r>
            <w:r w:rsidRPr="00106F94">
              <w:rPr>
                <w:rFonts w:ascii="Arial" w:hAnsi="Arial" w:cs="Arial"/>
                <w:sz w:val="24"/>
                <w:szCs w:val="24"/>
              </w:rPr>
              <w:t xml:space="preserve"> </w:t>
            </w:r>
            <w:r w:rsidRPr="00106F94">
              <w:rPr>
                <w:rFonts w:ascii="Arial" w:hAnsi="Arial" w:cs="Arial"/>
                <w:b/>
                <w:sz w:val="24"/>
                <w:szCs w:val="24"/>
              </w:rPr>
              <w:t>SUSPENSIÓN MANDAMIENTO DE PAGO</w:t>
            </w:r>
            <w:r w:rsidRPr="00106F94">
              <w:rPr>
                <w:rFonts w:ascii="Arial" w:hAnsi="Arial" w:cs="Arial"/>
                <w:sz w:val="24"/>
                <w:szCs w:val="24"/>
              </w:rPr>
              <w:t xml:space="preserve">. Suspéndanse los efectos del mandamiento de pago y la ejecución de todo aquel librado en procesos ejecutivos de mínima y menor cuantía, originados o </w:t>
            </w:r>
            <w:r w:rsidRPr="00106F94">
              <w:rPr>
                <w:rFonts w:ascii="Arial" w:hAnsi="Arial" w:cs="Arial"/>
                <w:sz w:val="24"/>
                <w:szCs w:val="24"/>
              </w:rPr>
              <w:lastRenderedPageBreak/>
              <w:t xml:space="preserve">derivados en pretensiones, obligaciones o deudas causadas e incumplidas desde la declaratoria de </w:t>
            </w:r>
            <w:r w:rsidRPr="009B56F5">
              <w:rPr>
                <w:rFonts w:ascii="Arial" w:hAnsi="Arial" w:cs="Arial"/>
                <w:sz w:val="24"/>
                <w:szCs w:val="24"/>
              </w:rPr>
              <w:t xml:space="preserve">emergencia sanitaria ordenada por el Gobierno Nacional el 12 de marzo de 2020, </w:t>
            </w:r>
            <w:r w:rsidR="009B56F5" w:rsidRPr="009B56F5">
              <w:rPr>
                <w:rFonts w:ascii="Arial" w:hAnsi="Arial" w:cs="Arial"/>
                <w:sz w:val="24"/>
                <w:szCs w:val="24"/>
              </w:rPr>
              <w:t>hasta ocho (8) meses después que la misma sea suspendida.</w:t>
            </w:r>
            <w:r w:rsidR="009B56F5" w:rsidRPr="00E607D9">
              <w:rPr>
                <w:rFonts w:ascii="Arial" w:hAnsi="Arial" w:cs="Arial"/>
                <w:b/>
                <w:strike/>
              </w:rPr>
              <w:t xml:space="preserve"> </w:t>
            </w:r>
          </w:p>
          <w:p w14:paraId="22D5C4A0" w14:textId="7DE4E040" w:rsidR="009B56F5" w:rsidRPr="009B56F5" w:rsidRDefault="009B56F5" w:rsidP="009B56F5">
            <w:pPr>
              <w:spacing w:after="360"/>
              <w:jc w:val="both"/>
              <w:rPr>
                <w:rFonts w:ascii="Arial" w:hAnsi="Arial" w:cs="Arial"/>
                <w:b/>
                <w:strike/>
              </w:rPr>
            </w:pPr>
          </w:p>
          <w:p w14:paraId="2FB10F00"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1:</w:t>
            </w:r>
            <w:r w:rsidRPr="00106F94">
              <w:rPr>
                <w:rFonts w:ascii="Arial" w:hAnsi="Arial" w:cs="Arial"/>
                <w:sz w:val="24"/>
                <w:szCs w:val="24"/>
              </w:rPr>
              <w:t xml:space="preserve"> Para que el deudor sea beneficiario del presente artículo deberá solicitarlo dentro del mismo término que tiene para proponer excepciones de mérito, y acreditar alguna de las siguientes condiciones: </w:t>
            </w:r>
          </w:p>
          <w:p w14:paraId="36993C22" w14:textId="77777777" w:rsidR="00A079EF" w:rsidRPr="00106F94" w:rsidRDefault="00A079EF" w:rsidP="00A079EF">
            <w:pPr>
              <w:jc w:val="both"/>
              <w:rPr>
                <w:rFonts w:ascii="Arial" w:hAnsi="Arial" w:cs="Arial"/>
                <w:sz w:val="24"/>
                <w:szCs w:val="24"/>
              </w:rPr>
            </w:pPr>
            <w:r w:rsidRPr="00106F94">
              <w:rPr>
                <w:rFonts w:ascii="Arial" w:hAnsi="Arial" w:cs="Arial"/>
                <w:sz w:val="24"/>
                <w:szCs w:val="24"/>
              </w:rPr>
              <w:t xml:space="preserve">a.) Pérdida del empleo con fecha posterior al 12 de marzo de 2020; o, b.) Pérdida, ausencia o disminución considerable de ingresos que recibía de manera regular con posterioridad al 12 de marzo de 2020; o, c.) Estar </w:t>
            </w:r>
            <w:r w:rsidRPr="00106F94">
              <w:rPr>
                <w:rFonts w:ascii="Arial" w:hAnsi="Arial" w:cs="Arial"/>
                <w:sz w:val="24"/>
                <w:szCs w:val="24"/>
              </w:rPr>
              <w:lastRenderedPageBreak/>
              <w:t xml:space="preserve">clasificado como Microempresa o Pequeña Empresa en los términos del artículo 2° de la Ley 590 de 2000 y el Decreto 957 de 2019; o, d.) Empresa de Economía Solidaria a las que se refieren los artículos 4° de la Ley 79 de 1988 y 6° de la Ley 454 de 1998. </w:t>
            </w:r>
          </w:p>
          <w:p w14:paraId="2FA4A29E"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2:</w:t>
            </w:r>
            <w:r w:rsidRPr="00106F94">
              <w:rPr>
                <w:rFonts w:ascii="Arial" w:hAnsi="Arial" w:cs="Arial"/>
                <w:sz w:val="24"/>
                <w:szCs w:val="24"/>
              </w:rPr>
              <w:t xml:space="preserve"> 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aceleratoria. </w:t>
            </w:r>
          </w:p>
          <w:p w14:paraId="59FF5F10"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3:</w:t>
            </w:r>
            <w:r w:rsidRPr="00106F94">
              <w:rPr>
                <w:rFonts w:ascii="Arial" w:hAnsi="Arial" w:cs="Arial"/>
                <w:sz w:val="24"/>
                <w:szCs w:val="24"/>
              </w:rPr>
              <w:t xml:space="preserve"> En cualquier momento podrá terminarse el proceso si se demuestra el pago o el acuerdo de pago sobre el saldo constituido en mora, </w:t>
            </w:r>
            <w:r w:rsidRPr="00106F94">
              <w:rPr>
                <w:rFonts w:ascii="Arial" w:hAnsi="Arial" w:cs="Arial"/>
                <w:sz w:val="24"/>
                <w:szCs w:val="24"/>
              </w:rPr>
              <w:lastRenderedPageBreak/>
              <w:t xml:space="preserve">sin tener en cuenta obligaciones cuya exigibilidad anticipada sea derivada de una clausula aceleratoria. </w:t>
            </w:r>
          </w:p>
          <w:p w14:paraId="34EED695"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4:</w:t>
            </w:r>
            <w:r w:rsidRPr="00106F94">
              <w:rPr>
                <w:rFonts w:ascii="Arial" w:hAnsi="Arial" w:cs="Arial"/>
                <w:sz w:val="24"/>
                <w:szCs w:val="24"/>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14:paraId="14AB2FC8" w14:textId="17D9D6CD" w:rsidR="00FE781C" w:rsidRPr="00106F94" w:rsidRDefault="00A079EF" w:rsidP="00EA1761">
            <w:pPr>
              <w:jc w:val="both"/>
              <w:rPr>
                <w:rFonts w:ascii="Arial" w:hAnsi="Arial" w:cs="Arial"/>
                <w:sz w:val="24"/>
                <w:szCs w:val="24"/>
              </w:rPr>
            </w:pPr>
            <w:r w:rsidRPr="00106F94">
              <w:rPr>
                <w:rFonts w:ascii="Arial" w:hAnsi="Arial" w:cs="Arial"/>
                <w:b/>
                <w:sz w:val="24"/>
                <w:szCs w:val="24"/>
              </w:rPr>
              <w:t>PARÁGRAFO 5:</w:t>
            </w:r>
            <w:r w:rsidRPr="00106F94">
              <w:rPr>
                <w:rFonts w:ascii="Arial" w:hAnsi="Arial" w:cs="Arial"/>
                <w:sz w:val="24"/>
                <w:szCs w:val="24"/>
              </w:rPr>
              <w:t xml:space="preserve"> Teniendo en cuenta que los procesos a los que se refiere el presente artículo podrán iniciase y continuar su trámite, el remate de los bienes cautelados y la entrega de dinero al acreedor, solo podrá </w:t>
            </w:r>
            <w:r w:rsidRPr="00106F94">
              <w:rPr>
                <w:rFonts w:ascii="Arial" w:hAnsi="Arial" w:cs="Arial"/>
                <w:sz w:val="24"/>
                <w:szCs w:val="24"/>
              </w:rPr>
              <w:lastRenderedPageBreak/>
              <w:t xml:space="preserve">efectuarse en los siguientes eventos: a.) Por mutuo acuerdo entre las partes, o, b.) Una vez venza el periodo de suspensión al que se refiere la presente ley. </w:t>
            </w:r>
          </w:p>
        </w:tc>
        <w:tc>
          <w:tcPr>
            <w:tcW w:w="1802" w:type="pct"/>
            <w:shd w:val="clear" w:color="auto" w:fill="auto"/>
            <w:tcMar>
              <w:top w:w="100" w:type="dxa"/>
              <w:left w:w="100" w:type="dxa"/>
              <w:bottom w:w="100" w:type="dxa"/>
              <w:right w:w="100" w:type="dxa"/>
            </w:tcMar>
          </w:tcPr>
          <w:p w14:paraId="1C1C6E40"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lastRenderedPageBreak/>
              <w:t>ARTÍCULO 1°:</w:t>
            </w:r>
            <w:r w:rsidRPr="00106F94">
              <w:rPr>
                <w:rFonts w:ascii="Arial" w:hAnsi="Arial" w:cs="Arial"/>
                <w:sz w:val="24"/>
                <w:szCs w:val="24"/>
              </w:rPr>
              <w:t xml:space="preserve">  Adiciónese un artículo transitorio a la Ley 1564 de 2012 por medio de la cual se expidió el Código General del Proceso, el cual tendrá el siguiente tenor: </w:t>
            </w:r>
          </w:p>
          <w:p w14:paraId="09BE4620" w14:textId="0278F421" w:rsidR="00A079EF" w:rsidRPr="00106F94" w:rsidRDefault="00A079EF" w:rsidP="00A079EF">
            <w:pPr>
              <w:jc w:val="both"/>
              <w:rPr>
                <w:rFonts w:ascii="Arial" w:hAnsi="Arial" w:cs="Arial"/>
                <w:sz w:val="24"/>
                <w:szCs w:val="24"/>
              </w:rPr>
            </w:pPr>
            <w:r>
              <w:rPr>
                <w:rFonts w:ascii="Arial" w:hAnsi="Arial" w:cs="Arial"/>
                <w:b/>
                <w:sz w:val="24"/>
                <w:szCs w:val="24"/>
              </w:rPr>
              <w:t>ARTÍCULO 4</w:t>
            </w:r>
            <w:r w:rsidRPr="00106F94">
              <w:rPr>
                <w:rFonts w:ascii="Arial" w:hAnsi="Arial" w:cs="Arial"/>
                <w:b/>
                <w:sz w:val="24"/>
                <w:szCs w:val="24"/>
              </w:rPr>
              <w:t>3</w:t>
            </w:r>
            <w:r>
              <w:rPr>
                <w:rFonts w:ascii="Arial" w:hAnsi="Arial" w:cs="Arial"/>
                <w:b/>
                <w:sz w:val="24"/>
                <w:szCs w:val="24"/>
              </w:rPr>
              <w:t>0</w:t>
            </w:r>
            <w:r w:rsidRPr="00106F94">
              <w:rPr>
                <w:rFonts w:ascii="Arial" w:hAnsi="Arial" w:cs="Arial"/>
                <w:b/>
                <w:sz w:val="24"/>
                <w:szCs w:val="24"/>
              </w:rPr>
              <w:t>A TRANSITORIO.</w:t>
            </w:r>
            <w:r w:rsidRPr="00106F94">
              <w:rPr>
                <w:rFonts w:ascii="Arial" w:hAnsi="Arial" w:cs="Arial"/>
                <w:sz w:val="24"/>
                <w:szCs w:val="24"/>
              </w:rPr>
              <w:t xml:space="preserve"> </w:t>
            </w:r>
            <w:r w:rsidRPr="00106F94">
              <w:rPr>
                <w:rFonts w:ascii="Arial" w:hAnsi="Arial" w:cs="Arial"/>
                <w:b/>
                <w:sz w:val="24"/>
                <w:szCs w:val="24"/>
              </w:rPr>
              <w:t>SUSPENSIÓN MANDAMIENTO DE PAGO</w:t>
            </w:r>
            <w:r w:rsidRPr="00106F94">
              <w:rPr>
                <w:rFonts w:ascii="Arial" w:hAnsi="Arial" w:cs="Arial"/>
                <w:sz w:val="24"/>
                <w:szCs w:val="24"/>
              </w:rPr>
              <w:t xml:space="preserve">. Suspéndanse los efectos del mandamiento de pago y la ejecución de todo aquel librado en procesos ejecutivos de mínima y menor cuantía, originados o </w:t>
            </w:r>
            <w:r w:rsidRPr="00106F94">
              <w:rPr>
                <w:rFonts w:ascii="Arial" w:hAnsi="Arial" w:cs="Arial"/>
                <w:sz w:val="24"/>
                <w:szCs w:val="24"/>
              </w:rPr>
              <w:lastRenderedPageBreak/>
              <w:t xml:space="preserve">derivados en pretensiones, obligaciones o deudas causadas e incumplidas desde la declaratoria de emergencia sanitaria ordenada por el Gobierno Nacional </w:t>
            </w:r>
            <w:r w:rsidRPr="009B56F5">
              <w:rPr>
                <w:rFonts w:ascii="Arial" w:hAnsi="Arial" w:cs="Arial"/>
                <w:sz w:val="24"/>
                <w:szCs w:val="24"/>
              </w:rPr>
              <w:t xml:space="preserve">el 12 de marzo de 2020, </w:t>
            </w:r>
            <w:r w:rsidR="009B56F5" w:rsidRPr="009B56F5">
              <w:rPr>
                <w:rFonts w:ascii="Arial" w:hAnsi="Arial" w:cs="Arial"/>
                <w:sz w:val="24"/>
                <w:szCs w:val="24"/>
              </w:rPr>
              <w:t xml:space="preserve">hasta </w:t>
            </w:r>
            <w:r w:rsidR="009B56F5" w:rsidRPr="009B56F5">
              <w:rPr>
                <w:rFonts w:ascii="Arial" w:hAnsi="Arial" w:cs="Arial"/>
                <w:strike/>
                <w:sz w:val="24"/>
                <w:szCs w:val="24"/>
              </w:rPr>
              <w:t>ocho (8)</w:t>
            </w:r>
            <w:r w:rsidR="009B56F5" w:rsidRPr="009B56F5">
              <w:rPr>
                <w:rFonts w:ascii="Arial" w:hAnsi="Arial" w:cs="Arial"/>
                <w:sz w:val="24"/>
                <w:szCs w:val="24"/>
              </w:rPr>
              <w:t xml:space="preserve"> </w:t>
            </w:r>
            <w:r w:rsidR="009B56F5" w:rsidRPr="009B56F5">
              <w:rPr>
                <w:rFonts w:ascii="Arial" w:hAnsi="Arial" w:cs="Arial"/>
                <w:b/>
                <w:sz w:val="24"/>
                <w:szCs w:val="24"/>
                <w:u w:val="single"/>
              </w:rPr>
              <w:t xml:space="preserve">diez (10) </w:t>
            </w:r>
            <w:r w:rsidR="009B56F5" w:rsidRPr="009B56F5">
              <w:rPr>
                <w:rFonts w:ascii="Arial" w:hAnsi="Arial" w:cs="Arial"/>
                <w:sz w:val="24"/>
                <w:szCs w:val="24"/>
              </w:rPr>
              <w:t>meses después que la</w:t>
            </w:r>
            <w:r w:rsidR="009B56F5" w:rsidRPr="009B56F5">
              <w:rPr>
                <w:rFonts w:ascii="Arial" w:hAnsi="Arial" w:cs="Arial"/>
                <w:b/>
                <w:strike/>
                <w:sz w:val="24"/>
                <w:szCs w:val="24"/>
              </w:rPr>
              <w:t xml:space="preserve"> misma sea suspendida. </w:t>
            </w:r>
            <w:r w:rsidR="009B56F5" w:rsidRPr="009B56F5">
              <w:rPr>
                <w:rFonts w:ascii="Arial" w:hAnsi="Arial" w:cs="Arial"/>
                <w:b/>
                <w:sz w:val="24"/>
                <w:szCs w:val="24"/>
                <w:u w:val="single"/>
              </w:rPr>
              <w:t>presente ley entre en vigencia.</w:t>
            </w:r>
          </w:p>
          <w:p w14:paraId="6394E7EE"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1:</w:t>
            </w:r>
            <w:r w:rsidRPr="00106F94">
              <w:rPr>
                <w:rFonts w:ascii="Arial" w:hAnsi="Arial" w:cs="Arial"/>
                <w:sz w:val="24"/>
                <w:szCs w:val="24"/>
              </w:rPr>
              <w:t xml:space="preserve"> Para que el deudor sea beneficiario del presente artículo deberá solicitarlo dentro del mismo término que tiene para proponer excepciones de mérito, y acreditar alguna de las siguientes condiciones: </w:t>
            </w:r>
          </w:p>
          <w:p w14:paraId="6292790A" w14:textId="77777777" w:rsidR="00A079EF" w:rsidRPr="00106F94" w:rsidRDefault="00A079EF" w:rsidP="00A079EF">
            <w:pPr>
              <w:jc w:val="both"/>
              <w:rPr>
                <w:rFonts w:ascii="Arial" w:hAnsi="Arial" w:cs="Arial"/>
                <w:sz w:val="24"/>
                <w:szCs w:val="24"/>
              </w:rPr>
            </w:pPr>
            <w:r w:rsidRPr="00106F94">
              <w:rPr>
                <w:rFonts w:ascii="Arial" w:hAnsi="Arial" w:cs="Arial"/>
                <w:sz w:val="24"/>
                <w:szCs w:val="24"/>
              </w:rPr>
              <w:t xml:space="preserve">a.) Pérdida del empleo con fecha posterior al 12 de marzo de 2020; o, b.) Pérdida, ausencia o disminución considerable de ingresos que recibía de manera regular con posterioridad al 12 de marzo de 2020; o, c.) Estar </w:t>
            </w:r>
            <w:r w:rsidRPr="00106F94">
              <w:rPr>
                <w:rFonts w:ascii="Arial" w:hAnsi="Arial" w:cs="Arial"/>
                <w:sz w:val="24"/>
                <w:szCs w:val="24"/>
              </w:rPr>
              <w:lastRenderedPageBreak/>
              <w:t xml:space="preserve">clasificado como Microempresa o Pequeña Empresa en los términos del artículo 2° de la Ley 590 de 2000 y el Decreto 957 de 2019; o, d.) Empresa de Economía Solidaria a las que se refieren los artículos 4° de la Ley 79 de 1988 y 6° de la Ley 454 de 1998. </w:t>
            </w:r>
          </w:p>
          <w:p w14:paraId="283A5DD5"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2:</w:t>
            </w:r>
            <w:r w:rsidRPr="00106F94">
              <w:rPr>
                <w:rFonts w:ascii="Arial" w:hAnsi="Arial" w:cs="Arial"/>
                <w:sz w:val="24"/>
                <w:szCs w:val="24"/>
              </w:rPr>
              <w:t xml:space="preserve"> 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aceleratoria. </w:t>
            </w:r>
          </w:p>
          <w:p w14:paraId="622E8F1E"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3:</w:t>
            </w:r>
            <w:r w:rsidRPr="00106F94">
              <w:rPr>
                <w:rFonts w:ascii="Arial" w:hAnsi="Arial" w:cs="Arial"/>
                <w:sz w:val="24"/>
                <w:szCs w:val="24"/>
              </w:rPr>
              <w:t xml:space="preserve"> En cualquier momento podrá terminarse el proceso si se demuestra el pago o el acuerdo de pago sobre el saldo constituido en mora, </w:t>
            </w:r>
            <w:r w:rsidRPr="00106F94">
              <w:rPr>
                <w:rFonts w:ascii="Arial" w:hAnsi="Arial" w:cs="Arial"/>
                <w:sz w:val="24"/>
                <w:szCs w:val="24"/>
              </w:rPr>
              <w:lastRenderedPageBreak/>
              <w:t xml:space="preserve">sin tener en cuenta obligaciones cuya exigibilidad anticipada sea derivada de una clausula aceleratoria. </w:t>
            </w:r>
          </w:p>
          <w:p w14:paraId="2F354A77"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4:</w:t>
            </w:r>
            <w:r w:rsidRPr="00106F94">
              <w:rPr>
                <w:rFonts w:ascii="Arial" w:hAnsi="Arial" w:cs="Arial"/>
                <w:sz w:val="24"/>
                <w:szCs w:val="24"/>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14:paraId="75E02721" w14:textId="76190AD7" w:rsidR="00FE781C" w:rsidRPr="00106F94" w:rsidRDefault="00A079EF" w:rsidP="00EA1761">
            <w:pPr>
              <w:jc w:val="both"/>
              <w:rPr>
                <w:rFonts w:ascii="Arial" w:hAnsi="Arial" w:cs="Arial"/>
                <w:sz w:val="24"/>
                <w:szCs w:val="24"/>
              </w:rPr>
            </w:pPr>
            <w:r w:rsidRPr="00106F94">
              <w:rPr>
                <w:rFonts w:ascii="Arial" w:hAnsi="Arial" w:cs="Arial"/>
                <w:b/>
                <w:sz w:val="24"/>
                <w:szCs w:val="24"/>
              </w:rPr>
              <w:t>PARÁGRAFO 5:</w:t>
            </w:r>
            <w:r w:rsidRPr="00106F94">
              <w:rPr>
                <w:rFonts w:ascii="Arial" w:hAnsi="Arial" w:cs="Arial"/>
                <w:sz w:val="24"/>
                <w:szCs w:val="24"/>
              </w:rPr>
              <w:t xml:space="preserve"> Teniendo en cuenta que los procesos a los que se refiere el presente artículo podrán iniciase y continuar su trámite, el remate de los bienes cautelados y la entrega de dinero al acreedor, solo podrá </w:t>
            </w:r>
            <w:r w:rsidRPr="00106F94">
              <w:rPr>
                <w:rFonts w:ascii="Arial" w:hAnsi="Arial" w:cs="Arial"/>
                <w:sz w:val="24"/>
                <w:szCs w:val="24"/>
              </w:rPr>
              <w:lastRenderedPageBreak/>
              <w:t xml:space="preserve">efectuarse en los siguientes eventos: a.) Por mutuo acuerdo entre las partes, o, b.) Una vez venza el periodo de suspensión al que se refiere la presente ley. </w:t>
            </w:r>
          </w:p>
        </w:tc>
        <w:tc>
          <w:tcPr>
            <w:tcW w:w="1396" w:type="pct"/>
            <w:shd w:val="clear" w:color="auto" w:fill="auto"/>
            <w:tcMar>
              <w:top w:w="100" w:type="dxa"/>
              <w:left w:w="100" w:type="dxa"/>
              <w:bottom w:w="100" w:type="dxa"/>
              <w:right w:w="100" w:type="dxa"/>
            </w:tcMar>
            <w:vAlign w:val="center"/>
          </w:tcPr>
          <w:p w14:paraId="334A0F8E" w14:textId="459D305A" w:rsidR="00FE781C" w:rsidRPr="00106F94" w:rsidRDefault="003832C7" w:rsidP="005A729B">
            <w:pPr>
              <w:widowControl w:val="0"/>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Proposición aprobada de los Representantes David Pulido, Julio Cesar Triana y Cesar Lorduy</w:t>
            </w:r>
          </w:p>
        </w:tc>
      </w:tr>
      <w:tr w:rsidR="00FE781C" w:rsidRPr="00106F94" w14:paraId="7D796171" w14:textId="77777777" w:rsidTr="00D25A8D">
        <w:tc>
          <w:tcPr>
            <w:tcW w:w="1802" w:type="pct"/>
            <w:shd w:val="clear" w:color="auto" w:fill="auto"/>
            <w:tcMar>
              <w:top w:w="100" w:type="dxa"/>
              <w:left w:w="100" w:type="dxa"/>
              <w:bottom w:w="100" w:type="dxa"/>
              <w:right w:w="100" w:type="dxa"/>
            </w:tcMar>
          </w:tcPr>
          <w:p w14:paraId="2ED67A8C" w14:textId="6DEA1221" w:rsidR="00FE781C" w:rsidRPr="00106F94" w:rsidRDefault="00A079EF" w:rsidP="009B56F5">
            <w:pPr>
              <w:jc w:val="both"/>
              <w:rPr>
                <w:rFonts w:ascii="Arial" w:hAnsi="Arial" w:cs="Arial"/>
                <w:color w:val="000000"/>
                <w:sz w:val="24"/>
                <w:szCs w:val="24"/>
              </w:rPr>
            </w:pPr>
            <w:r w:rsidRPr="00106F94">
              <w:rPr>
                <w:rFonts w:ascii="Arial" w:hAnsi="Arial" w:cs="Arial"/>
                <w:b/>
                <w:sz w:val="24"/>
                <w:szCs w:val="24"/>
              </w:rPr>
              <w:lastRenderedPageBreak/>
              <w:t>ARTÍCULO 2°.</w:t>
            </w:r>
            <w:r w:rsidRPr="00106F94">
              <w:rPr>
                <w:rFonts w:ascii="Arial" w:hAnsi="Arial" w:cs="Arial"/>
                <w:sz w:val="24"/>
                <w:szCs w:val="24"/>
              </w:rPr>
              <w:t xml:space="preserve"> </w:t>
            </w:r>
            <w:r w:rsidRPr="00106F94">
              <w:rPr>
                <w:rFonts w:ascii="Arial" w:hAnsi="Arial" w:cs="Arial"/>
                <w:b/>
                <w:sz w:val="24"/>
                <w:szCs w:val="24"/>
              </w:rPr>
              <w:t>VIGENCIA</w:t>
            </w:r>
            <w:r w:rsidRPr="00106F94">
              <w:rPr>
                <w:rFonts w:ascii="Arial" w:hAnsi="Arial" w:cs="Arial"/>
                <w:sz w:val="24"/>
                <w:szCs w:val="24"/>
              </w:rPr>
              <w:t xml:space="preserve">, La presente ley rige a partir de su promulgación, y aplica para los procesos ejecutivos de mínima y menor cuantía iniciados desde la declaratoria de emergencia sanitaria ordenada por el Gobierno Nacional el 12 de marzo de 2020, </w:t>
            </w:r>
            <w:r w:rsidR="009B56F5" w:rsidRPr="009B56F5">
              <w:rPr>
                <w:rFonts w:ascii="Arial" w:hAnsi="Arial" w:cs="Arial"/>
                <w:sz w:val="24"/>
                <w:szCs w:val="24"/>
              </w:rPr>
              <w:t>hasta ocho (8) meses después que la misma sea suspendida.</w:t>
            </w:r>
          </w:p>
        </w:tc>
        <w:tc>
          <w:tcPr>
            <w:tcW w:w="1802" w:type="pct"/>
            <w:shd w:val="clear" w:color="auto" w:fill="auto"/>
            <w:tcMar>
              <w:top w:w="100" w:type="dxa"/>
              <w:left w:w="100" w:type="dxa"/>
              <w:bottom w:w="100" w:type="dxa"/>
              <w:right w:w="100" w:type="dxa"/>
            </w:tcMar>
          </w:tcPr>
          <w:p w14:paraId="1CA43DC4" w14:textId="3D5A95A5" w:rsidR="00FE781C" w:rsidRPr="00A079EF" w:rsidRDefault="00A079EF" w:rsidP="00A079EF">
            <w:pPr>
              <w:jc w:val="both"/>
              <w:rPr>
                <w:rFonts w:ascii="Arial" w:hAnsi="Arial" w:cs="Arial"/>
                <w:sz w:val="24"/>
                <w:szCs w:val="24"/>
              </w:rPr>
            </w:pPr>
            <w:r w:rsidRPr="00106F94">
              <w:rPr>
                <w:rFonts w:ascii="Arial" w:hAnsi="Arial" w:cs="Arial"/>
                <w:b/>
                <w:sz w:val="24"/>
                <w:szCs w:val="24"/>
              </w:rPr>
              <w:t>ARTÍCULO 2°.</w:t>
            </w:r>
            <w:r w:rsidRPr="00106F94">
              <w:rPr>
                <w:rFonts w:ascii="Arial" w:hAnsi="Arial" w:cs="Arial"/>
                <w:sz w:val="24"/>
                <w:szCs w:val="24"/>
              </w:rPr>
              <w:t xml:space="preserve"> </w:t>
            </w:r>
            <w:r w:rsidRPr="00106F94">
              <w:rPr>
                <w:rFonts w:ascii="Arial" w:hAnsi="Arial" w:cs="Arial"/>
                <w:b/>
                <w:sz w:val="24"/>
                <w:szCs w:val="24"/>
              </w:rPr>
              <w:t>VIGENCIA</w:t>
            </w:r>
            <w:r w:rsidRPr="00106F94">
              <w:rPr>
                <w:rFonts w:ascii="Arial" w:hAnsi="Arial" w:cs="Arial"/>
                <w:sz w:val="24"/>
                <w:szCs w:val="24"/>
              </w:rPr>
              <w:t xml:space="preserve">, La presente ley rige a partir de su promulgación, y aplica para los procesos ejecutivos de mínima y menor cuantía iniciados desde la declaratoria de emergencia sanitaria ordenada por el Gobierno Nacional el 12 de marzo de 2020, </w:t>
            </w:r>
            <w:r w:rsidR="009B56F5" w:rsidRPr="009B56F5">
              <w:rPr>
                <w:rFonts w:ascii="Arial" w:hAnsi="Arial" w:cs="Arial"/>
                <w:sz w:val="24"/>
                <w:szCs w:val="24"/>
              </w:rPr>
              <w:t xml:space="preserve">hasta </w:t>
            </w:r>
            <w:r w:rsidR="009B56F5" w:rsidRPr="009B56F5">
              <w:rPr>
                <w:rFonts w:ascii="Arial" w:hAnsi="Arial" w:cs="Arial"/>
                <w:strike/>
                <w:sz w:val="24"/>
                <w:szCs w:val="24"/>
              </w:rPr>
              <w:t>ocho (8)</w:t>
            </w:r>
            <w:r w:rsidR="009B56F5" w:rsidRPr="009B56F5">
              <w:rPr>
                <w:rFonts w:ascii="Arial" w:hAnsi="Arial" w:cs="Arial"/>
                <w:sz w:val="24"/>
                <w:szCs w:val="24"/>
              </w:rPr>
              <w:t xml:space="preserve"> </w:t>
            </w:r>
            <w:r w:rsidR="009B56F5" w:rsidRPr="009B56F5">
              <w:rPr>
                <w:rFonts w:ascii="Arial" w:hAnsi="Arial" w:cs="Arial"/>
                <w:b/>
                <w:sz w:val="24"/>
                <w:szCs w:val="24"/>
                <w:u w:val="single"/>
              </w:rPr>
              <w:t xml:space="preserve">diez (10) </w:t>
            </w:r>
            <w:r w:rsidR="009B56F5" w:rsidRPr="009B56F5">
              <w:rPr>
                <w:rFonts w:ascii="Arial" w:hAnsi="Arial" w:cs="Arial"/>
                <w:sz w:val="24"/>
                <w:szCs w:val="24"/>
              </w:rPr>
              <w:t>meses después que la</w:t>
            </w:r>
            <w:r w:rsidR="009B56F5" w:rsidRPr="009B56F5">
              <w:rPr>
                <w:rFonts w:ascii="Arial" w:hAnsi="Arial" w:cs="Arial"/>
                <w:b/>
                <w:strike/>
                <w:sz w:val="24"/>
                <w:szCs w:val="24"/>
              </w:rPr>
              <w:t xml:space="preserve"> misma sea suspendida. </w:t>
            </w:r>
            <w:r w:rsidR="009B56F5" w:rsidRPr="009B56F5">
              <w:rPr>
                <w:rFonts w:ascii="Arial" w:hAnsi="Arial" w:cs="Arial"/>
                <w:b/>
                <w:sz w:val="24"/>
                <w:szCs w:val="24"/>
                <w:u w:val="single"/>
              </w:rPr>
              <w:t>presente ley entre en vigencia.</w:t>
            </w:r>
          </w:p>
        </w:tc>
        <w:tc>
          <w:tcPr>
            <w:tcW w:w="1396" w:type="pct"/>
            <w:shd w:val="clear" w:color="auto" w:fill="auto"/>
            <w:tcMar>
              <w:top w:w="100" w:type="dxa"/>
              <w:left w:w="100" w:type="dxa"/>
              <w:bottom w:w="100" w:type="dxa"/>
              <w:right w:w="100" w:type="dxa"/>
            </w:tcMar>
            <w:vAlign w:val="center"/>
          </w:tcPr>
          <w:p w14:paraId="63E258E6" w14:textId="03EA580F" w:rsidR="00FE781C" w:rsidRPr="00FE781C" w:rsidRDefault="003832C7" w:rsidP="00EA1761">
            <w:pPr>
              <w:jc w:val="both"/>
              <w:rPr>
                <w:rFonts w:ascii="Arial" w:eastAsia="Times New Roman" w:hAnsi="Arial" w:cs="Arial"/>
                <w:b/>
                <w:sz w:val="24"/>
                <w:szCs w:val="24"/>
              </w:rPr>
            </w:pPr>
            <w:r>
              <w:rPr>
                <w:rFonts w:ascii="Arial" w:eastAsia="Times New Roman" w:hAnsi="Arial" w:cs="Arial"/>
                <w:b/>
                <w:sz w:val="24"/>
                <w:szCs w:val="24"/>
              </w:rPr>
              <w:t>Proposición aprobada de los Representantes David Pulido, Julio Cesar Triana y Cesar Lorduy</w:t>
            </w:r>
          </w:p>
        </w:tc>
      </w:tr>
    </w:tbl>
    <w:p w14:paraId="349C2FDA"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67D50388" w14:textId="7D7C0642"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71F5547E" w14:textId="102CBDF8" w:rsidR="00FE781C" w:rsidRPr="00D25A8D" w:rsidRDefault="00FE781C" w:rsidP="0058014B">
      <w:pPr>
        <w:pStyle w:val="Prrafodelista"/>
        <w:numPr>
          <w:ilvl w:val="0"/>
          <w:numId w:val="39"/>
        </w:numPr>
        <w:pBdr>
          <w:top w:val="nil"/>
          <w:left w:val="nil"/>
          <w:bottom w:val="nil"/>
          <w:right w:val="nil"/>
          <w:between w:val="nil"/>
        </w:pBdr>
        <w:spacing w:after="0" w:line="240" w:lineRule="auto"/>
        <w:jc w:val="both"/>
        <w:rPr>
          <w:rFonts w:ascii="Arial" w:eastAsia="Times New Roman" w:hAnsi="Arial" w:cs="Arial"/>
          <w:b/>
          <w:color w:val="000000"/>
          <w:sz w:val="24"/>
          <w:szCs w:val="24"/>
        </w:rPr>
      </w:pPr>
      <w:r w:rsidRPr="00D25A8D">
        <w:rPr>
          <w:rFonts w:ascii="Arial" w:eastAsia="Times New Roman" w:hAnsi="Arial" w:cs="Arial"/>
          <w:b/>
          <w:color w:val="000000"/>
          <w:sz w:val="24"/>
          <w:szCs w:val="24"/>
        </w:rPr>
        <w:t xml:space="preserve">CONFLICTOS DE INTERÉS </w:t>
      </w:r>
    </w:p>
    <w:p w14:paraId="6BB748AD" w14:textId="77777777" w:rsidR="00FE781C" w:rsidRPr="00106F94" w:rsidRDefault="00FE781C" w:rsidP="00FE781C">
      <w:pPr>
        <w:spacing w:after="0" w:line="240" w:lineRule="auto"/>
        <w:jc w:val="both"/>
        <w:rPr>
          <w:rFonts w:ascii="Arial" w:eastAsia="Times New Roman" w:hAnsi="Arial" w:cs="Arial"/>
          <w:sz w:val="24"/>
          <w:szCs w:val="24"/>
        </w:rPr>
      </w:pPr>
    </w:p>
    <w:p w14:paraId="716C0C0E"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w:t>
      </w:r>
      <w:r w:rsidRPr="00106F94">
        <w:rPr>
          <w:rFonts w:ascii="Arial" w:eastAsia="Times New Roman" w:hAnsi="Arial" w:cs="Arial"/>
          <w:sz w:val="24"/>
          <w:szCs w:val="24"/>
        </w:rPr>
        <w:lastRenderedPageBreak/>
        <w:t>un conflicto de interés para la discusión y votación del proyecto, siendo estos, criterios guías para que los congresistas tomen una decisión en torno a si se encuentran en una causal de impedimento.</w:t>
      </w:r>
    </w:p>
    <w:p w14:paraId="591774FD" w14:textId="77777777" w:rsidR="00FE781C" w:rsidRPr="00106F94" w:rsidRDefault="00FE781C" w:rsidP="00FE781C">
      <w:pPr>
        <w:spacing w:after="0" w:line="240" w:lineRule="auto"/>
        <w:jc w:val="both"/>
        <w:rPr>
          <w:rFonts w:ascii="Arial" w:eastAsia="Times New Roman" w:hAnsi="Arial" w:cs="Arial"/>
          <w:sz w:val="24"/>
          <w:szCs w:val="24"/>
        </w:rPr>
      </w:pPr>
    </w:p>
    <w:p w14:paraId="73EFEA25"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Frente al Proyecto de Ley número 153 de 2020 Cámara “Por medio de la cual se incluye al sector ambiental en la Ley 30 de 1986 “Por la cual se adopta el Estatuto Nacional de Estupefacientes y se dictan otras disposiciones”, se considera que pueden existir conflictos de interés relacionados con: </w:t>
      </w:r>
    </w:p>
    <w:p w14:paraId="55F67E48"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 </w:t>
      </w:r>
    </w:p>
    <w:p w14:paraId="6C577F46" w14:textId="77777777" w:rsidR="00FE781C" w:rsidRPr="00106F94" w:rsidRDefault="00FE781C" w:rsidP="00FE781C">
      <w:pPr>
        <w:spacing w:after="0" w:line="240" w:lineRule="auto"/>
        <w:jc w:val="both"/>
        <w:rPr>
          <w:rFonts w:ascii="Arial" w:eastAsia="Times New Roman" w:hAnsi="Arial" w:cs="Arial"/>
          <w:bCs/>
          <w:sz w:val="24"/>
          <w:szCs w:val="24"/>
        </w:rPr>
      </w:pPr>
      <w:r w:rsidRPr="00106F94">
        <w:rPr>
          <w:rFonts w:ascii="Arial" w:eastAsia="Times New Roman" w:hAnsi="Arial" w:cs="Arial"/>
          <w:sz w:val="24"/>
          <w:szCs w:val="24"/>
        </w:rPr>
        <w:t>-</w:t>
      </w:r>
      <w:r w:rsidRPr="00106F94">
        <w:rPr>
          <w:rFonts w:ascii="Arial" w:eastAsia="Times New Roman" w:hAnsi="Arial" w:cs="Arial"/>
          <w:sz w:val="24"/>
          <w:szCs w:val="24"/>
        </w:rPr>
        <w:tab/>
        <w:t>El interés particular, actual y directo de los congresistas derivado de que su cónyuge, compañero o compañera permanente, o parientes dentro del segundo grado de consanguinidad, segundo de afinidad o primero civil sean</w:t>
      </w:r>
      <w:r w:rsidRPr="00106F94">
        <w:rPr>
          <w:rFonts w:ascii="Arial" w:eastAsia="Times New Roman" w:hAnsi="Arial" w:cs="Arial"/>
          <w:bCs/>
          <w:sz w:val="24"/>
          <w:szCs w:val="24"/>
        </w:rPr>
        <w:t xml:space="preserve"> los titulares de los cargos que hacen parte dentro de los Consejos de Estupefacientes que menciona el proyecto de ley. </w:t>
      </w:r>
    </w:p>
    <w:p w14:paraId="73BA8894" w14:textId="77777777" w:rsidR="00FE781C" w:rsidRPr="00106F94" w:rsidRDefault="00FE781C" w:rsidP="00FE781C">
      <w:pPr>
        <w:spacing w:after="0" w:line="240" w:lineRule="auto"/>
        <w:jc w:val="both"/>
        <w:rPr>
          <w:rFonts w:ascii="Arial" w:eastAsia="Times New Roman" w:hAnsi="Arial" w:cs="Arial"/>
          <w:sz w:val="24"/>
          <w:szCs w:val="24"/>
        </w:rPr>
      </w:pPr>
    </w:p>
    <w:p w14:paraId="56168230"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Finalmente, sobre los conflictos de interés resulta importante recordar lo señalado por el Consejo de Estado (2019): </w:t>
      </w:r>
    </w:p>
    <w:p w14:paraId="388D3EFC" w14:textId="77777777" w:rsidR="00FE781C" w:rsidRPr="00106F94" w:rsidRDefault="00FE781C" w:rsidP="00FE781C">
      <w:pPr>
        <w:spacing w:after="0" w:line="240" w:lineRule="auto"/>
        <w:jc w:val="both"/>
        <w:rPr>
          <w:rFonts w:ascii="Arial" w:eastAsia="Times New Roman" w:hAnsi="Arial" w:cs="Arial"/>
          <w:sz w:val="24"/>
          <w:szCs w:val="24"/>
        </w:rPr>
      </w:pPr>
    </w:p>
    <w:p w14:paraId="1DB61155"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CC39DCD" w14:textId="77777777" w:rsidR="00FE781C" w:rsidRPr="00106F94" w:rsidRDefault="00FE781C" w:rsidP="00FE781C">
      <w:pPr>
        <w:spacing w:after="0" w:line="240" w:lineRule="auto"/>
        <w:jc w:val="both"/>
        <w:rPr>
          <w:rFonts w:ascii="Arial" w:eastAsia="Times New Roman" w:hAnsi="Arial" w:cs="Arial"/>
          <w:sz w:val="24"/>
          <w:szCs w:val="24"/>
        </w:rPr>
      </w:pPr>
    </w:p>
    <w:p w14:paraId="2789BCF5"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De igual forma, es pertinente señalar lo que la Ley 5 de 1992 dispone sobre la materia en el artículo 286, modificado por el artículo 1 de la Ley 2003 de 2019: </w:t>
      </w:r>
    </w:p>
    <w:p w14:paraId="6A22C3AA" w14:textId="77777777" w:rsidR="00FE781C" w:rsidRPr="00106F94" w:rsidRDefault="00FE781C" w:rsidP="00FE781C">
      <w:pPr>
        <w:spacing w:after="0" w:line="240" w:lineRule="auto"/>
        <w:jc w:val="both"/>
        <w:rPr>
          <w:rFonts w:ascii="Arial" w:eastAsia="Times New Roman" w:hAnsi="Arial" w:cs="Arial"/>
          <w:sz w:val="24"/>
          <w:szCs w:val="24"/>
        </w:rPr>
      </w:pPr>
    </w:p>
    <w:p w14:paraId="52B94798"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28FC6F35" w14:textId="77777777" w:rsidR="00FE781C" w:rsidRPr="00106F94" w:rsidRDefault="00FE781C" w:rsidP="00FE781C">
      <w:pPr>
        <w:spacing w:after="0" w:line="240" w:lineRule="auto"/>
        <w:jc w:val="both"/>
        <w:rPr>
          <w:rFonts w:ascii="Arial" w:eastAsia="Times New Roman" w:hAnsi="Arial" w:cs="Arial"/>
          <w:sz w:val="24"/>
          <w:szCs w:val="24"/>
        </w:rPr>
      </w:pPr>
    </w:p>
    <w:p w14:paraId="774307B0"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w:t>
      </w:r>
      <w:r w:rsidRPr="00106F94">
        <w:rPr>
          <w:rFonts w:ascii="Arial" w:eastAsia="Times New Roman" w:hAnsi="Arial" w:cs="Arial"/>
          <w:sz w:val="24"/>
          <w:szCs w:val="24"/>
        </w:rPr>
        <w:lastRenderedPageBreak/>
        <w:t xml:space="preserve">investigaciones penales, disciplinarias, fiscales o administrativas a las que se encuentre formalmente vinculado. </w:t>
      </w:r>
    </w:p>
    <w:p w14:paraId="618AD70F"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b) Beneficio actual: aquel que efectivamente se configura en las circunstancias presentes y existentes al momento en el que el congresista participa de la decisión. </w:t>
      </w:r>
    </w:p>
    <w:p w14:paraId="2669387C"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2DA8C550" w14:textId="77777777" w:rsidR="00FE781C" w:rsidRPr="00106F94" w:rsidRDefault="00FE781C" w:rsidP="00FE781C">
      <w:pPr>
        <w:spacing w:after="0" w:line="240" w:lineRule="auto"/>
        <w:jc w:val="both"/>
        <w:rPr>
          <w:rFonts w:ascii="Arial" w:eastAsia="Times New Roman" w:hAnsi="Arial" w:cs="Arial"/>
          <w:sz w:val="24"/>
          <w:szCs w:val="24"/>
        </w:rPr>
      </w:pPr>
    </w:p>
    <w:p w14:paraId="3EA666DA" w14:textId="57B8C4F3" w:rsidR="00FE781C"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Se recuerda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6687F3C" w14:textId="77777777" w:rsidR="00ED3820" w:rsidRPr="00106F94" w:rsidRDefault="00ED3820" w:rsidP="00FE781C">
      <w:pPr>
        <w:spacing w:after="0" w:line="240" w:lineRule="auto"/>
        <w:jc w:val="both"/>
        <w:rPr>
          <w:rFonts w:ascii="Arial" w:eastAsia="Times New Roman" w:hAnsi="Arial" w:cs="Arial"/>
          <w:sz w:val="24"/>
          <w:szCs w:val="24"/>
        </w:rPr>
      </w:pPr>
    </w:p>
    <w:p w14:paraId="61B0E1C6" w14:textId="390FEAE2"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color w:val="221E1F"/>
          <w:sz w:val="24"/>
          <w:szCs w:val="24"/>
        </w:rPr>
      </w:pPr>
    </w:p>
    <w:p w14:paraId="59D25846" w14:textId="48BD1C33" w:rsidR="00FE781C" w:rsidRPr="0058014B" w:rsidRDefault="00FE781C" w:rsidP="0058014B">
      <w:pPr>
        <w:pStyle w:val="Prrafodelista"/>
        <w:numPr>
          <w:ilvl w:val="0"/>
          <w:numId w:val="46"/>
        </w:numPr>
        <w:pBdr>
          <w:top w:val="nil"/>
          <w:left w:val="nil"/>
          <w:bottom w:val="nil"/>
          <w:right w:val="nil"/>
          <w:between w:val="nil"/>
        </w:pBdr>
        <w:spacing w:after="0" w:line="240" w:lineRule="auto"/>
        <w:jc w:val="both"/>
        <w:rPr>
          <w:rFonts w:ascii="Arial" w:eastAsia="Times New Roman" w:hAnsi="Arial" w:cs="Arial"/>
          <w:b/>
          <w:color w:val="221E1F"/>
          <w:sz w:val="24"/>
          <w:szCs w:val="24"/>
        </w:rPr>
      </w:pPr>
      <w:r w:rsidRPr="0058014B">
        <w:rPr>
          <w:rFonts w:ascii="Arial" w:eastAsia="Times New Roman" w:hAnsi="Arial" w:cs="Arial"/>
          <w:b/>
          <w:color w:val="221E1F"/>
          <w:sz w:val="24"/>
          <w:szCs w:val="24"/>
        </w:rPr>
        <w:t xml:space="preserve">PROPOSICIÓN </w:t>
      </w:r>
    </w:p>
    <w:p w14:paraId="75914C1E"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525F5BA4" w14:textId="68B50456" w:rsidR="00FE781C" w:rsidRDefault="00FE781C" w:rsidP="00ED3820">
      <w:pPr>
        <w:pStyle w:val="Default"/>
        <w:jc w:val="both"/>
        <w:rPr>
          <w:rFonts w:ascii="Arial" w:eastAsia="Times New Roman" w:hAnsi="Arial" w:cs="Arial"/>
        </w:rPr>
      </w:pPr>
      <w:r w:rsidRPr="00106F94">
        <w:rPr>
          <w:rFonts w:ascii="Arial" w:eastAsia="Times New Roman" w:hAnsi="Arial" w:cs="Arial"/>
          <w:color w:val="221E1F"/>
        </w:rPr>
        <w:t>Con fundamento en las consideraciones expuestas, le solicitamos a la Hono</w:t>
      </w:r>
      <w:r w:rsidR="006E31A6">
        <w:rPr>
          <w:rFonts w:ascii="Arial" w:eastAsia="Times New Roman" w:hAnsi="Arial" w:cs="Arial"/>
          <w:color w:val="221E1F"/>
        </w:rPr>
        <w:t xml:space="preserve">rable </w:t>
      </w:r>
      <w:r w:rsidR="00D25A8D">
        <w:rPr>
          <w:rFonts w:ascii="Arial" w:eastAsia="Times New Roman" w:hAnsi="Arial" w:cs="Arial"/>
          <w:color w:val="221E1F"/>
        </w:rPr>
        <w:t>Plenaria</w:t>
      </w:r>
      <w:r w:rsidRPr="00106F94">
        <w:rPr>
          <w:rFonts w:ascii="Arial" w:eastAsia="Times New Roman" w:hAnsi="Arial" w:cs="Arial"/>
          <w:color w:val="221E1F"/>
        </w:rPr>
        <w:t xml:space="preserve"> de la Cámara de Repr</w:t>
      </w:r>
      <w:r w:rsidR="00D25A8D">
        <w:rPr>
          <w:rFonts w:ascii="Arial" w:eastAsia="Times New Roman" w:hAnsi="Arial" w:cs="Arial"/>
          <w:color w:val="221E1F"/>
        </w:rPr>
        <w:t>esentantes dar segundo</w:t>
      </w:r>
      <w:r w:rsidR="006E31A6">
        <w:rPr>
          <w:rFonts w:ascii="Arial" w:eastAsia="Times New Roman" w:hAnsi="Arial" w:cs="Arial"/>
          <w:color w:val="221E1F"/>
        </w:rPr>
        <w:t xml:space="preserve"> debate al</w:t>
      </w:r>
      <w:r w:rsidRPr="00106F94">
        <w:rPr>
          <w:rFonts w:ascii="Arial" w:eastAsia="Times New Roman" w:hAnsi="Arial" w:cs="Arial"/>
        </w:rPr>
        <w:t xml:space="preserve"> Proyecto de Ley número 198 de 2021 Cámara </w:t>
      </w:r>
      <w:r w:rsidRPr="00106F94">
        <w:rPr>
          <w:rFonts w:ascii="Arial" w:hAnsi="Arial" w:cs="Arial"/>
          <w:b/>
          <w:bCs/>
        </w:rPr>
        <w:t>“</w:t>
      </w:r>
      <w:r w:rsidRPr="00106F94">
        <w:rPr>
          <w:rFonts w:ascii="Arial" w:eastAsia="Times New Roman" w:hAnsi="Arial" w:cs="Arial"/>
        </w:rPr>
        <w:t>Por medio de la cual se suspenden los efectos de los mandamientos de pago y la ejecución de todo aquel dictado en procesos ejecutivos de mínima y menor cuantía y se dictan otras disposiciones”</w:t>
      </w:r>
      <w:r w:rsidR="001330CD">
        <w:rPr>
          <w:rFonts w:ascii="Arial" w:eastAsia="Times New Roman" w:hAnsi="Arial" w:cs="Arial"/>
        </w:rPr>
        <w:t xml:space="preserve"> con base en el texto propuesto aprobado en primer debate, sin modificaciones.</w:t>
      </w:r>
    </w:p>
    <w:p w14:paraId="03744025" w14:textId="1DCD8A4F" w:rsidR="00ED3820" w:rsidRDefault="00ED3820" w:rsidP="00ED3820">
      <w:pPr>
        <w:pStyle w:val="Default"/>
        <w:jc w:val="both"/>
        <w:rPr>
          <w:rFonts w:ascii="Arial" w:eastAsia="Times New Roman" w:hAnsi="Arial" w:cs="Arial"/>
        </w:rPr>
      </w:pPr>
    </w:p>
    <w:p w14:paraId="713FBB62" w14:textId="350491C4" w:rsidR="00ED3820" w:rsidRDefault="00ED3820" w:rsidP="00ED3820">
      <w:pPr>
        <w:pStyle w:val="Default"/>
        <w:jc w:val="both"/>
        <w:rPr>
          <w:rFonts w:ascii="Arial" w:eastAsia="Times New Roman" w:hAnsi="Arial" w:cs="Arial"/>
        </w:rPr>
      </w:pPr>
    </w:p>
    <w:p w14:paraId="0B58ED17" w14:textId="6D8C3982" w:rsidR="00ED3820" w:rsidRDefault="00ED3820" w:rsidP="00ED3820">
      <w:pPr>
        <w:pStyle w:val="Default"/>
        <w:jc w:val="both"/>
        <w:rPr>
          <w:rFonts w:ascii="Arial" w:eastAsia="Times New Roman" w:hAnsi="Arial" w:cs="Arial"/>
        </w:rPr>
      </w:pPr>
    </w:p>
    <w:p w14:paraId="37872C3C" w14:textId="77777777" w:rsidR="00ED3820" w:rsidRPr="00106F94" w:rsidRDefault="00ED3820" w:rsidP="00ED3820">
      <w:pPr>
        <w:pStyle w:val="Default"/>
        <w:jc w:val="both"/>
        <w:rPr>
          <w:rFonts w:ascii="Arial" w:eastAsia="Times New Roman" w:hAnsi="Arial" w:cs="Arial"/>
        </w:rPr>
      </w:pPr>
    </w:p>
    <w:p w14:paraId="2F4B876F"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Cordialmente,</w:t>
      </w:r>
    </w:p>
    <w:p w14:paraId="7F977387" w14:textId="77777777" w:rsidR="00FE781C" w:rsidRPr="00106F94" w:rsidRDefault="00FE781C" w:rsidP="00FE781C">
      <w:pPr>
        <w:spacing w:after="0" w:line="240" w:lineRule="auto"/>
        <w:jc w:val="both"/>
        <w:rPr>
          <w:rFonts w:ascii="Arial" w:eastAsia="Times New Roman" w:hAnsi="Arial" w:cs="Arial"/>
          <w:sz w:val="24"/>
          <w:szCs w:val="24"/>
        </w:rPr>
      </w:pPr>
    </w:p>
    <w:p w14:paraId="703809CF" w14:textId="77777777" w:rsidR="00FE781C" w:rsidRDefault="00FE781C" w:rsidP="00FE781C">
      <w:pPr>
        <w:spacing w:after="0" w:line="240" w:lineRule="auto"/>
        <w:jc w:val="both"/>
        <w:rPr>
          <w:rFonts w:ascii="Arial" w:eastAsia="Times New Roman" w:hAnsi="Arial" w:cs="Arial"/>
          <w:sz w:val="24"/>
          <w:szCs w:val="24"/>
        </w:rPr>
      </w:pPr>
    </w:p>
    <w:p w14:paraId="30DD4F7F" w14:textId="77777777" w:rsidR="00FE781C" w:rsidRPr="00106F94" w:rsidRDefault="00FE781C" w:rsidP="00FE781C">
      <w:pPr>
        <w:spacing w:after="0" w:line="240" w:lineRule="auto"/>
        <w:jc w:val="both"/>
        <w:rPr>
          <w:rFonts w:ascii="Arial" w:eastAsia="Times New Roman" w:hAnsi="Arial" w:cs="Arial"/>
          <w:sz w:val="24"/>
          <w:szCs w:val="24"/>
        </w:rPr>
      </w:pPr>
    </w:p>
    <w:p w14:paraId="353F9A5F" w14:textId="0BE999DE" w:rsidR="00FE781C" w:rsidRDefault="00FE781C" w:rsidP="000A0A6F">
      <w:pPr>
        <w:spacing w:after="0"/>
        <w:jc w:val="center"/>
        <w:rPr>
          <w:rFonts w:ascii="Arial" w:eastAsia="Times New Roman" w:hAnsi="Arial" w:cs="Arial"/>
          <w:b/>
          <w:sz w:val="24"/>
          <w:szCs w:val="24"/>
          <w:highlight w:val="white"/>
        </w:rPr>
      </w:pPr>
    </w:p>
    <w:p w14:paraId="1BC09239" w14:textId="77777777" w:rsidR="00845335" w:rsidRPr="00106F94" w:rsidRDefault="00845335" w:rsidP="000A0A6F">
      <w:pPr>
        <w:spacing w:after="0"/>
        <w:jc w:val="center"/>
        <w:rPr>
          <w:rFonts w:ascii="Arial" w:eastAsia="Times New Roman" w:hAnsi="Arial" w:cs="Arial"/>
          <w:b/>
          <w:sz w:val="24"/>
          <w:szCs w:val="24"/>
          <w:highlight w:val="white"/>
        </w:rPr>
      </w:pPr>
    </w:p>
    <w:p w14:paraId="6412032E" w14:textId="77777777" w:rsidR="00FE781C" w:rsidRPr="00106F94" w:rsidRDefault="00FE781C" w:rsidP="000A0A6F">
      <w:pPr>
        <w:spacing w:after="0"/>
        <w:jc w:val="center"/>
        <w:rPr>
          <w:rFonts w:ascii="Arial" w:eastAsia="Times New Roman" w:hAnsi="Arial" w:cs="Arial"/>
          <w:b/>
          <w:sz w:val="24"/>
          <w:szCs w:val="24"/>
          <w:highlight w:val="white"/>
        </w:rPr>
        <w:sectPr w:rsidR="00FE781C" w:rsidRPr="00106F94" w:rsidSect="009E4A9B">
          <w:type w:val="continuous"/>
          <w:pgSz w:w="12240" w:h="15840"/>
          <w:pgMar w:top="2693" w:right="1701" w:bottom="2268" w:left="1701" w:header="708" w:footer="1684" w:gutter="0"/>
          <w:pgNumType w:start="1"/>
          <w:cols w:space="720" w:equalWidth="0">
            <w:col w:w="8838"/>
          </w:cols>
          <w:docGrid w:linePitch="299"/>
        </w:sectPr>
      </w:pPr>
    </w:p>
    <w:p w14:paraId="3D67C955" w14:textId="796923ED" w:rsidR="00845335" w:rsidRPr="005A729B" w:rsidRDefault="00845335" w:rsidP="00E44B1C">
      <w:pPr>
        <w:spacing w:after="0"/>
        <w:jc w:val="center"/>
        <w:rPr>
          <w:rFonts w:ascii="Arial" w:eastAsia="Times New Roman" w:hAnsi="Arial" w:cs="Arial"/>
          <w:b/>
          <w:i/>
          <w:sz w:val="24"/>
          <w:szCs w:val="24"/>
          <w:highlight w:val="white"/>
        </w:rPr>
      </w:pPr>
      <w:r w:rsidRPr="005A729B">
        <w:rPr>
          <w:rFonts w:ascii="Arial" w:eastAsia="Times New Roman" w:hAnsi="Arial" w:cs="Arial"/>
          <w:b/>
          <w:i/>
          <w:sz w:val="24"/>
          <w:szCs w:val="24"/>
          <w:highlight w:val="white"/>
        </w:rPr>
        <w:lastRenderedPageBreak/>
        <w:t>CÉSAR AUGUSTO LORDUY</w:t>
      </w:r>
    </w:p>
    <w:p w14:paraId="51A3A994" w14:textId="77777777" w:rsidR="00845335" w:rsidRPr="00106F94" w:rsidRDefault="00845335" w:rsidP="00E44B1C">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0EAD7B98" w14:textId="77777777" w:rsidR="00845335" w:rsidRPr="005A729B" w:rsidRDefault="00845335" w:rsidP="00E44B1C">
      <w:pPr>
        <w:spacing w:after="0"/>
        <w:jc w:val="center"/>
        <w:rPr>
          <w:rFonts w:ascii="Arial" w:eastAsia="Times New Roman" w:hAnsi="Arial" w:cs="Arial"/>
          <w:b/>
          <w:i/>
          <w:sz w:val="24"/>
          <w:szCs w:val="24"/>
          <w:highlight w:val="white"/>
        </w:rPr>
      </w:pPr>
      <w:r>
        <w:rPr>
          <w:rFonts w:ascii="Arial" w:eastAsia="Times New Roman" w:hAnsi="Arial" w:cs="Arial"/>
          <w:b/>
          <w:i/>
          <w:sz w:val="24"/>
          <w:szCs w:val="24"/>
          <w:highlight w:val="white"/>
        </w:rPr>
        <w:lastRenderedPageBreak/>
        <w:t>JUAN CARLOS WILLS</w:t>
      </w:r>
    </w:p>
    <w:p w14:paraId="306B2E1E" w14:textId="77777777" w:rsidR="00845335" w:rsidRPr="00106F94" w:rsidRDefault="00845335" w:rsidP="00E44B1C">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1AD4FBB5" w14:textId="77777777" w:rsidR="00845335" w:rsidRDefault="00845335" w:rsidP="00845335">
      <w:pPr>
        <w:spacing w:after="0"/>
        <w:jc w:val="both"/>
        <w:rPr>
          <w:rFonts w:ascii="Arial" w:eastAsia="Times New Roman" w:hAnsi="Arial" w:cs="Arial"/>
          <w:sz w:val="24"/>
          <w:szCs w:val="24"/>
          <w:highlight w:val="white"/>
        </w:rPr>
        <w:sectPr w:rsidR="00845335" w:rsidSect="0081350F">
          <w:type w:val="continuous"/>
          <w:pgSz w:w="12240" w:h="15840"/>
          <w:pgMar w:top="2693" w:right="1701" w:bottom="2268" w:left="1701" w:header="708" w:footer="708" w:gutter="0"/>
          <w:cols w:num="2" w:space="720"/>
        </w:sectPr>
      </w:pPr>
    </w:p>
    <w:p w14:paraId="734F49C9" w14:textId="77777777" w:rsidR="00FE781C" w:rsidRPr="00106F94" w:rsidRDefault="00FE781C" w:rsidP="000A0A6F">
      <w:pPr>
        <w:spacing w:after="0"/>
        <w:jc w:val="center"/>
        <w:rPr>
          <w:rFonts w:ascii="Arial" w:eastAsia="Times New Roman" w:hAnsi="Arial" w:cs="Arial"/>
          <w:sz w:val="24"/>
          <w:szCs w:val="24"/>
          <w:highlight w:val="white"/>
        </w:rPr>
      </w:pPr>
    </w:p>
    <w:p w14:paraId="43CE9FA7" w14:textId="77777777" w:rsidR="00FE781C" w:rsidRPr="00106F94" w:rsidRDefault="00FE781C" w:rsidP="00FE781C">
      <w:pPr>
        <w:spacing w:after="0"/>
        <w:jc w:val="both"/>
        <w:rPr>
          <w:rFonts w:ascii="Arial" w:eastAsia="Times New Roman" w:hAnsi="Arial" w:cs="Arial"/>
          <w:b/>
          <w:sz w:val="24"/>
          <w:szCs w:val="24"/>
          <w:highlight w:val="white"/>
        </w:rPr>
      </w:pPr>
    </w:p>
    <w:p w14:paraId="68CF986A" w14:textId="77777777" w:rsidR="00FE781C" w:rsidRPr="00106F94" w:rsidRDefault="00FE781C" w:rsidP="00FE781C">
      <w:pPr>
        <w:spacing w:after="0"/>
        <w:jc w:val="both"/>
        <w:rPr>
          <w:rFonts w:ascii="Arial" w:eastAsia="Times New Roman" w:hAnsi="Arial" w:cs="Arial"/>
          <w:b/>
          <w:sz w:val="24"/>
          <w:szCs w:val="24"/>
          <w:highlight w:val="white"/>
        </w:rPr>
      </w:pPr>
    </w:p>
    <w:p w14:paraId="158C4353" w14:textId="04A2E4C4" w:rsidR="00D25A8D" w:rsidRDefault="00D25A8D"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68D8D81F" w14:textId="782EDBBC" w:rsidR="00E44B1C" w:rsidRPr="00106F94" w:rsidRDefault="00E44B1C"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sectPr w:rsidR="00E44B1C" w:rsidRPr="00106F94" w:rsidSect="0081350F">
          <w:type w:val="continuous"/>
          <w:pgSz w:w="12240" w:h="15840"/>
          <w:pgMar w:top="2693" w:right="1701" w:bottom="2268" w:left="1701" w:header="708" w:footer="708" w:gutter="0"/>
          <w:cols w:space="720"/>
        </w:sectPr>
      </w:pPr>
    </w:p>
    <w:p w14:paraId="0BA7DBB5"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623FA734" w14:textId="02F1481D" w:rsidR="00FE781C" w:rsidRPr="00ED3820" w:rsidRDefault="00A079EF" w:rsidP="00FE781C">
      <w:pPr>
        <w:pStyle w:val="Prrafodelista"/>
        <w:numPr>
          <w:ilvl w:val="0"/>
          <w:numId w:val="46"/>
        </w:numPr>
        <w:pBdr>
          <w:top w:val="nil"/>
          <w:left w:val="nil"/>
          <w:bottom w:val="nil"/>
          <w:right w:val="nil"/>
          <w:between w:val="nil"/>
        </w:pBdr>
        <w:spacing w:after="0" w:line="240" w:lineRule="auto"/>
        <w:jc w:val="both"/>
        <w:rPr>
          <w:rFonts w:ascii="Arial" w:eastAsia="Times New Roman" w:hAnsi="Arial" w:cs="Arial"/>
          <w:b/>
          <w:color w:val="221E1F"/>
          <w:sz w:val="24"/>
          <w:szCs w:val="24"/>
        </w:rPr>
      </w:pPr>
      <w:r>
        <w:rPr>
          <w:rFonts w:ascii="Arial" w:eastAsia="Times New Roman" w:hAnsi="Arial" w:cs="Arial"/>
          <w:b/>
          <w:color w:val="221E1F"/>
          <w:sz w:val="24"/>
          <w:szCs w:val="24"/>
        </w:rPr>
        <w:t>TEXTO PROPUESTO PARA SEGUNDO</w:t>
      </w:r>
      <w:r w:rsidR="00FE781C" w:rsidRPr="00D25A8D">
        <w:rPr>
          <w:rFonts w:ascii="Arial" w:eastAsia="Times New Roman" w:hAnsi="Arial" w:cs="Arial"/>
          <w:b/>
          <w:color w:val="221E1F"/>
          <w:sz w:val="24"/>
          <w:szCs w:val="24"/>
        </w:rPr>
        <w:t xml:space="preserve"> DEBATE</w:t>
      </w:r>
    </w:p>
    <w:p w14:paraId="5B9C4DC3" w14:textId="77777777" w:rsidR="00A079EF" w:rsidRPr="00106F94" w:rsidRDefault="00A079EF" w:rsidP="00A079EF">
      <w:pPr>
        <w:pBdr>
          <w:top w:val="nil"/>
          <w:left w:val="nil"/>
          <w:bottom w:val="nil"/>
          <w:right w:val="nil"/>
          <w:between w:val="nil"/>
        </w:pBdr>
        <w:spacing w:after="0" w:line="240" w:lineRule="auto"/>
        <w:jc w:val="both"/>
        <w:rPr>
          <w:rFonts w:ascii="Arial" w:eastAsia="Times New Roman" w:hAnsi="Arial" w:cs="Arial"/>
          <w:b/>
          <w:color w:val="221E1F"/>
          <w:sz w:val="24"/>
          <w:szCs w:val="24"/>
        </w:rPr>
      </w:pPr>
      <w:bookmarkStart w:id="4" w:name="_heading=h.2et92p0" w:colFirst="0" w:colLast="0"/>
      <w:bookmarkEnd w:id="4"/>
    </w:p>
    <w:p w14:paraId="166018B8" w14:textId="77777777" w:rsidR="00A079EF" w:rsidRPr="00106F94" w:rsidRDefault="00A079EF" w:rsidP="00A079EF">
      <w:pPr>
        <w:jc w:val="center"/>
        <w:rPr>
          <w:rFonts w:ascii="Arial" w:hAnsi="Arial" w:cs="Arial"/>
          <w:b/>
          <w:sz w:val="24"/>
          <w:szCs w:val="24"/>
        </w:rPr>
      </w:pPr>
      <w:r>
        <w:rPr>
          <w:rFonts w:ascii="Arial" w:hAnsi="Arial" w:cs="Arial"/>
          <w:b/>
          <w:sz w:val="24"/>
          <w:szCs w:val="24"/>
        </w:rPr>
        <w:t xml:space="preserve">PROYECTO DE LEY No 198 </w:t>
      </w:r>
      <w:r w:rsidRPr="00106F94">
        <w:rPr>
          <w:rFonts w:ascii="Arial" w:hAnsi="Arial" w:cs="Arial"/>
          <w:b/>
          <w:sz w:val="24"/>
          <w:szCs w:val="24"/>
        </w:rPr>
        <w:t>DE 2021 CÁMARA</w:t>
      </w:r>
    </w:p>
    <w:p w14:paraId="7FA10D60" w14:textId="77777777" w:rsidR="00A079EF" w:rsidRPr="00106F94" w:rsidRDefault="00A079EF" w:rsidP="00A079EF">
      <w:pPr>
        <w:jc w:val="center"/>
        <w:rPr>
          <w:rFonts w:ascii="Arial" w:hAnsi="Arial" w:cs="Arial"/>
          <w:b/>
          <w:i/>
          <w:sz w:val="24"/>
          <w:szCs w:val="24"/>
        </w:rPr>
      </w:pPr>
      <w:r w:rsidRPr="00106F94">
        <w:rPr>
          <w:rFonts w:ascii="Arial" w:hAnsi="Arial" w:cs="Arial"/>
          <w:b/>
          <w:i/>
          <w:sz w:val="24"/>
          <w:szCs w:val="24"/>
        </w:rPr>
        <w:t>“POR MEDIO DE LA CUAL SE SUSPENDEN LOS EFECTOS DE LOS MANDAMIENTOS DE PAGO Y LA EJECUCIÓN DE TODO AQUEL DICTADO EN PROCESOS EJECUTIVOS DE MÍNIMA Y MENOR CUANTÍA Y SE DICTAN OTRAS DISPOSICIONES”</w:t>
      </w:r>
    </w:p>
    <w:p w14:paraId="5575E95B" w14:textId="2107CF9F" w:rsidR="00A079EF" w:rsidRPr="00106F94" w:rsidRDefault="00A079EF" w:rsidP="00ED3820">
      <w:pPr>
        <w:jc w:val="center"/>
        <w:rPr>
          <w:rFonts w:ascii="Arial" w:hAnsi="Arial" w:cs="Arial"/>
          <w:b/>
          <w:sz w:val="24"/>
          <w:szCs w:val="24"/>
        </w:rPr>
      </w:pPr>
      <w:r w:rsidRPr="00106F94">
        <w:rPr>
          <w:rFonts w:ascii="Arial" w:hAnsi="Arial" w:cs="Arial"/>
          <w:b/>
          <w:sz w:val="24"/>
          <w:szCs w:val="24"/>
        </w:rPr>
        <w:t>EL CONGRESO DE COLOMBIA</w:t>
      </w:r>
    </w:p>
    <w:p w14:paraId="27861BD5" w14:textId="77777777" w:rsidR="00A079EF" w:rsidRPr="00200626" w:rsidRDefault="00A079EF" w:rsidP="00A079EF">
      <w:pPr>
        <w:jc w:val="center"/>
        <w:rPr>
          <w:rFonts w:ascii="Arial" w:hAnsi="Arial" w:cs="Arial"/>
          <w:b/>
          <w:sz w:val="24"/>
          <w:szCs w:val="24"/>
        </w:rPr>
      </w:pPr>
      <w:r w:rsidRPr="00106F94">
        <w:rPr>
          <w:rFonts w:ascii="Arial" w:hAnsi="Arial" w:cs="Arial"/>
          <w:b/>
          <w:sz w:val="24"/>
          <w:szCs w:val="24"/>
        </w:rPr>
        <w:t>DECRETA</w:t>
      </w:r>
    </w:p>
    <w:p w14:paraId="5EE670B3"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ARTÍCULO 1°:</w:t>
      </w:r>
      <w:r w:rsidRPr="00106F94">
        <w:rPr>
          <w:rFonts w:ascii="Arial" w:hAnsi="Arial" w:cs="Arial"/>
          <w:sz w:val="24"/>
          <w:szCs w:val="24"/>
        </w:rPr>
        <w:t xml:space="preserve">  Adiciónese un artículo transitorio a la Ley 1564 de 2012 por medio de la cual se expidió el Código General del Proceso, el cual tendrá el siguiente tenor: </w:t>
      </w:r>
    </w:p>
    <w:p w14:paraId="497E7751" w14:textId="77777777" w:rsidR="00A079EF" w:rsidRPr="00106F94" w:rsidRDefault="00A079EF" w:rsidP="00A079EF">
      <w:pPr>
        <w:jc w:val="both"/>
        <w:rPr>
          <w:rFonts w:ascii="Arial" w:hAnsi="Arial" w:cs="Arial"/>
          <w:sz w:val="24"/>
          <w:szCs w:val="24"/>
        </w:rPr>
      </w:pPr>
      <w:r>
        <w:rPr>
          <w:rFonts w:ascii="Arial" w:hAnsi="Arial" w:cs="Arial"/>
          <w:b/>
          <w:sz w:val="24"/>
          <w:szCs w:val="24"/>
        </w:rPr>
        <w:t>ARTÍCULO 4</w:t>
      </w:r>
      <w:r w:rsidRPr="00106F94">
        <w:rPr>
          <w:rFonts w:ascii="Arial" w:hAnsi="Arial" w:cs="Arial"/>
          <w:b/>
          <w:sz w:val="24"/>
          <w:szCs w:val="24"/>
        </w:rPr>
        <w:t>3</w:t>
      </w:r>
      <w:r>
        <w:rPr>
          <w:rFonts w:ascii="Arial" w:hAnsi="Arial" w:cs="Arial"/>
          <w:b/>
          <w:sz w:val="24"/>
          <w:szCs w:val="24"/>
        </w:rPr>
        <w:t>0</w:t>
      </w:r>
      <w:r w:rsidRPr="00106F94">
        <w:rPr>
          <w:rFonts w:ascii="Arial" w:hAnsi="Arial" w:cs="Arial"/>
          <w:b/>
          <w:sz w:val="24"/>
          <w:szCs w:val="24"/>
        </w:rPr>
        <w:t>A TRANSITORIO.</w:t>
      </w:r>
      <w:r w:rsidRPr="00106F94">
        <w:rPr>
          <w:rFonts w:ascii="Arial" w:hAnsi="Arial" w:cs="Arial"/>
          <w:sz w:val="24"/>
          <w:szCs w:val="24"/>
        </w:rPr>
        <w:t xml:space="preserve"> </w:t>
      </w:r>
      <w:r w:rsidRPr="00106F94">
        <w:rPr>
          <w:rFonts w:ascii="Arial" w:hAnsi="Arial" w:cs="Arial"/>
          <w:b/>
          <w:sz w:val="24"/>
          <w:szCs w:val="24"/>
        </w:rPr>
        <w:t>SUSPENSIÓN MANDAMIENTO DE PAGO</w:t>
      </w:r>
      <w:r w:rsidRPr="00106F94">
        <w:rPr>
          <w:rFonts w:ascii="Arial" w:hAnsi="Arial" w:cs="Arial"/>
          <w:sz w:val="24"/>
          <w:szCs w:val="24"/>
        </w:rPr>
        <w:t xml:space="preserve">. Suspéndanse los efectos del mandamiento de pago y la ejecución de todo aquel librado en procesos ejecutivos de mínima y menor cuantía, originados o derivados en pretensiones, obligaciones o deudas causadas e incumplidas desde la declaratoria de emergencia sanitaria ordenada por el Gobierno Nacional el 12 de marzo de 2020, hasta </w:t>
      </w:r>
      <w:r>
        <w:rPr>
          <w:rFonts w:ascii="Arial" w:hAnsi="Arial" w:cs="Arial"/>
          <w:sz w:val="24"/>
          <w:szCs w:val="24"/>
        </w:rPr>
        <w:t>diez (10)</w:t>
      </w:r>
      <w:r w:rsidRPr="00106F94">
        <w:rPr>
          <w:rFonts w:ascii="Arial" w:hAnsi="Arial" w:cs="Arial"/>
          <w:sz w:val="24"/>
          <w:szCs w:val="24"/>
        </w:rPr>
        <w:t xml:space="preserve"> meses después que la </w:t>
      </w:r>
      <w:r>
        <w:rPr>
          <w:rFonts w:ascii="Arial" w:hAnsi="Arial" w:cs="Arial"/>
          <w:sz w:val="24"/>
          <w:szCs w:val="24"/>
        </w:rPr>
        <w:t>presente ley entre en vigencia.</w:t>
      </w:r>
      <w:r w:rsidRPr="00106F94">
        <w:rPr>
          <w:rFonts w:ascii="Arial" w:hAnsi="Arial" w:cs="Arial"/>
          <w:sz w:val="24"/>
          <w:szCs w:val="24"/>
        </w:rPr>
        <w:t xml:space="preserve"> </w:t>
      </w:r>
    </w:p>
    <w:p w14:paraId="13B434AC"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1:</w:t>
      </w:r>
      <w:r w:rsidRPr="00106F94">
        <w:rPr>
          <w:rFonts w:ascii="Arial" w:hAnsi="Arial" w:cs="Arial"/>
          <w:sz w:val="24"/>
          <w:szCs w:val="24"/>
        </w:rPr>
        <w:t xml:space="preserve"> Para que el deudor sea beneficiario del presente artículo deberá solicitarlo dentro del mismo término que tiene para proponer excepciones de mérito, y acreditar alguna de las siguientes condiciones: </w:t>
      </w:r>
    </w:p>
    <w:p w14:paraId="03556096" w14:textId="77777777" w:rsidR="00A079EF" w:rsidRPr="00106F94" w:rsidRDefault="00A079EF" w:rsidP="00A079EF">
      <w:pPr>
        <w:jc w:val="both"/>
        <w:rPr>
          <w:rFonts w:ascii="Arial" w:hAnsi="Arial" w:cs="Arial"/>
          <w:sz w:val="24"/>
          <w:szCs w:val="24"/>
        </w:rPr>
      </w:pPr>
      <w:r w:rsidRPr="00106F94">
        <w:rPr>
          <w:rFonts w:ascii="Arial" w:hAnsi="Arial" w:cs="Arial"/>
          <w:sz w:val="24"/>
          <w:szCs w:val="24"/>
        </w:rPr>
        <w:t xml:space="preserve">a.) Pérdida del empleo con fecha posterior al 12 de marzo de 2020; o, b.) Pérdida, ausencia o disminución considerable de ingresos que recibía de manera regular con posterioridad al 12 de marzo de 2020; o, c.) Estar clasificado como Microempresa o Pequeña Empresa en los términos del artículo 2° de la Ley 590 de 2000 y el Decreto 957 de 2019; o, d.) Empresa de Economía Solidaria a las que se refieren los artículos 4° de la Ley 79 de 1988 y 6° de la Ley 454 de 1998. </w:t>
      </w:r>
    </w:p>
    <w:p w14:paraId="7D671382"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lastRenderedPageBreak/>
        <w:t>PARÁGRAFO 2:</w:t>
      </w:r>
      <w:r w:rsidRPr="00106F94">
        <w:rPr>
          <w:rFonts w:ascii="Arial" w:hAnsi="Arial" w:cs="Arial"/>
          <w:sz w:val="24"/>
          <w:szCs w:val="24"/>
        </w:rPr>
        <w:t xml:space="preserve"> 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aceleratoria. </w:t>
      </w:r>
    </w:p>
    <w:p w14:paraId="76646B32"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3:</w:t>
      </w:r>
      <w:r w:rsidRPr="00106F94">
        <w:rPr>
          <w:rFonts w:ascii="Arial" w:hAnsi="Arial" w:cs="Arial"/>
          <w:sz w:val="24"/>
          <w:szCs w:val="24"/>
        </w:rPr>
        <w:t xml:space="preserve"> En cualquier momento podrá terminarse el proceso si se demuestra el pago o el acuerdo de pago sobre el saldo constituido en mora, sin tener en cuenta obligaciones cuya exigibilidad anticipada sea derivada de una clausula aceleratoria. </w:t>
      </w:r>
    </w:p>
    <w:p w14:paraId="05714F95"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4:</w:t>
      </w:r>
      <w:r w:rsidRPr="00106F94">
        <w:rPr>
          <w:rFonts w:ascii="Arial" w:hAnsi="Arial" w:cs="Arial"/>
          <w:sz w:val="24"/>
          <w:szCs w:val="24"/>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14:paraId="6706C8B0" w14:textId="77777777" w:rsidR="00A079EF" w:rsidRPr="00106F94" w:rsidRDefault="00A079EF" w:rsidP="00A079EF">
      <w:pPr>
        <w:jc w:val="both"/>
        <w:rPr>
          <w:rFonts w:ascii="Arial" w:hAnsi="Arial" w:cs="Arial"/>
          <w:sz w:val="24"/>
          <w:szCs w:val="24"/>
        </w:rPr>
      </w:pPr>
      <w:r w:rsidRPr="00106F94">
        <w:rPr>
          <w:rFonts w:ascii="Arial" w:hAnsi="Arial" w:cs="Arial"/>
          <w:b/>
          <w:sz w:val="24"/>
          <w:szCs w:val="24"/>
        </w:rPr>
        <w:t>PARÁGRAFO 5:</w:t>
      </w:r>
      <w:r w:rsidRPr="00106F94">
        <w:rPr>
          <w:rFonts w:ascii="Arial" w:hAnsi="Arial" w:cs="Arial"/>
          <w:sz w:val="24"/>
          <w:szCs w:val="24"/>
        </w:rPr>
        <w:t xml:space="preserve"> Teniendo en cuenta que los procesos a los que se refiere el presente artículo podrán iniciase y continuar su trámite, el remate de los bienes cautelados y la entrega de dinero al acreedor, solo podrá efectuarse en los siguientes eventos: a.) Por mutuo acuerdo entre las partes, o, b.) Una vez venza el periodo de suspensión al que se refiere la presente ley. </w:t>
      </w:r>
    </w:p>
    <w:p w14:paraId="7F9BCB84" w14:textId="08F77536" w:rsidR="00FE781C" w:rsidRPr="00ED3820" w:rsidRDefault="00A079EF" w:rsidP="00ED3820">
      <w:pPr>
        <w:jc w:val="both"/>
        <w:rPr>
          <w:rFonts w:ascii="Arial" w:hAnsi="Arial" w:cs="Arial"/>
          <w:sz w:val="24"/>
          <w:szCs w:val="24"/>
        </w:rPr>
      </w:pPr>
      <w:r w:rsidRPr="00106F94">
        <w:rPr>
          <w:rFonts w:ascii="Arial" w:hAnsi="Arial" w:cs="Arial"/>
          <w:b/>
          <w:sz w:val="24"/>
          <w:szCs w:val="24"/>
        </w:rPr>
        <w:t>ARTÍCULO 2°.</w:t>
      </w:r>
      <w:r w:rsidRPr="00106F94">
        <w:rPr>
          <w:rFonts w:ascii="Arial" w:hAnsi="Arial" w:cs="Arial"/>
          <w:sz w:val="24"/>
          <w:szCs w:val="24"/>
        </w:rPr>
        <w:t xml:space="preserve"> </w:t>
      </w:r>
      <w:r w:rsidRPr="00106F94">
        <w:rPr>
          <w:rFonts w:ascii="Arial" w:hAnsi="Arial" w:cs="Arial"/>
          <w:b/>
          <w:sz w:val="24"/>
          <w:szCs w:val="24"/>
        </w:rPr>
        <w:t>VIGENCIA</w:t>
      </w:r>
      <w:r w:rsidRPr="00106F94">
        <w:rPr>
          <w:rFonts w:ascii="Arial" w:hAnsi="Arial" w:cs="Arial"/>
          <w:sz w:val="24"/>
          <w:szCs w:val="24"/>
        </w:rPr>
        <w:t xml:space="preserve">, La presente ley rige a partir de su promulgación, y aplica para los procesos ejecutivos de mínima y menor cuantía iniciados desde la declaratoria de emergencia sanitaria ordenada por el Gobierno Nacional el 12 de marzo de 2020, hasta </w:t>
      </w:r>
      <w:r>
        <w:rPr>
          <w:rFonts w:ascii="Arial" w:hAnsi="Arial" w:cs="Arial"/>
          <w:sz w:val="24"/>
          <w:szCs w:val="24"/>
        </w:rPr>
        <w:t xml:space="preserve">diez (10) </w:t>
      </w:r>
      <w:r w:rsidRPr="00106F94">
        <w:rPr>
          <w:rFonts w:ascii="Arial" w:hAnsi="Arial" w:cs="Arial"/>
          <w:sz w:val="24"/>
          <w:szCs w:val="24"/>
        </w:rPr>
        <w:t xml:space="preserve">meses después que la </w:t>
      </w:r>
      <w:r>
        <w:rPr>
          <w:rFonts w:ascii="Arial" w:hAnsi="Arial" w:cs="Arial"/>
          <w:sz w:val="24"/>
          <w:szCs w:val="24"/>
        </w:rPr>
        <w:t>presente ley entre en vigencia.</w:t>
      </w:r>
    </w:p>
    <w:p w14:paraId="16DB96BF" w14:textId="77777777" w:rsidR="00FE781C" w:rsidRPr="00106F94" w:rsidRDefault="00FE781C" w:rsidP="00FE781C">
      <w:pPr>
        <w:spacing w:after="0" w:line="240" w:lineRule="auto"/>
        <w:jc w:val="both"/>
        <w:rPr>
          <w:rFonts w:ascii="Arial" w:eastAsia="Times New Roman" w:hAnsi="Arial" w:cs="Arial"/>
          <w:sz w:val="24"/>
          <w:szCs w:val="24"/>
        </w:rPr>
        <w:sectPr w:rsidR="00FE781C" w:rsidRPr="00106F94" w:rsidSect="0081350F">
          <w:footerReference w:type="default" r:id="rId23"/>
          <w:type w:val="continuous"/>
          <w:pgSz w:w="12240" w:h="15840"/>
          <w:pgMar w:top="2693" w:right="1701" w:bottom="2268" w:left="1701" w:header="708" w:footer="708" w:gutter="0"/>
          <w:cols w:space="720" w:equalWidth="0">
            <w:col w:w="8838"/>
          </w:cols>
        </w:sectPr>
      </w:pPr>
      <w:r w:rsidRPr="00106F94">
        <w:rPr>
          <w:rFonts w:ascii="Arial" w:eastAsia="Times New Roman" w:hAnsi="Arial" w:cs="Arial"/>
          <w:sz w:val="24"/>
          <w:szCs w:val="24"/>
        </w:rPr>
        <w:t>De los Honorables Representantes,</w:t>
      </w:r>
    </w:p>
    <w:p w14:paraId="0132D74F" w14:textId="77777777" w:rsidR="00FE781C" w:rsidRPr="00106F94" w:rsidRDefault="00FE781C" w:rsidP="00FE781C">
      <w:pPr>
        <w:spacing w:after="0" w:line="240" w:lineRule="auto"/>
        <w:jc w:val="both"/>
        <w:rPr>
          <w:rFonts w:ascii="Arial" w:eastAsia="Times New Roman" w:hAnsi="Arial" w:cs="Arial"/>
          <w:color w:val="000000"/>
          <w:sz w:val="24"/>
          <w:szCs w:val="24"/>
        </w:rPr>
      </w:pPr>
    </w:p>
    <w:p w14:paraId="167AB4D6" w14:textId="77777777" w:rsidR="00FE781C" w:rsidRPr="00106F94" w:rsidRDefault="00FE781C" w:rsidP="00FE781C">
      <w:pPr>
        <w:spacing w:after="0" w:line="240" w:lineRule="auto"/>
        <w:jc w:val="both"/>
        <w:rPr>
          <w:rFonts w:ascii="Arial" w:eastAsia="Times New Roman" w:hAnsi="Arial" w:cs="Arial"/>
          <w:color w:val="000000"/>
          <w:sz w:val="24"/>
          <w:szCs w:val="24"/>
        </w:rPr>
      </w:pPr>
    </w:p>
    <w:p w14:paraId="7C7845FD" w14:textId="77777777" w:rsidR="00FE781C" w:rsidRPr="00106F94" w:rsidRDefault="00FE781C" w:rsidP="00FE781C">
      <w:pPr>
        <w:spacing w:after="0"/>
        <w:jc w:val="both"/>
        <w:rPr>
          <w:rFonts w:ascii="Arial" w:eastAsia="Times New Roman" w:hAnsi="Arial" w:cs="Arial"/>
          <w:b/>
          <w:sz w:val="24"/>
          <w:szCs w:val="24"/>
          <w:highlight w:val="white"/>
        </w:rPr>
      </w:pPr>
    </w:p>
    <w:p w14:paraId="2D21F4DC" w14:textId="77777777" w:rsidR="00FE781C" w:rsidRPr="00106F94" w:rsidRDefault="00FE781C" w:rsidP="00FE781C">
      <w:pPr>
        <w:spacing w:after="0"/>
        <w:jc w:val="both"/>
        <w:rPr>
          <w:rFonts w:ascii="Arial" w:eastAsia="Times New Roman" w:hAnsi="Arial" w:cs="Arial"/>
          <w:b/>
          <w:sz w:val="24"/>
          <w:szCs w:val="24"/>
          <w:highlight w:val="white"/>
        </w:rPr>
        <w:sectPr w:rsidR="00FE781C" w:rsidRPr="00106F94" w:rsidSect="0081350F">
          <w:headerReference w:type="default" r:id="rId24"/>
          <w:type w:val="continuous"/>
          <w:pgSz w:w="12240" w:h="15840"/>
          <w:pgMar w:top="2693" w:right="1701" w:bottom="2268" w:left="1701" w:header="708" w:footer="708" w:gutter="0"/>
          <w:pgNumType w:start="1"/>
          <w:cols w:space="720" w:equalWidth="0">
            <w:col w:w="8838"/>
          </w:cols>
        </w:sectPr>
      </w:pPr>
    </w:p>
    <w:p w14:paraId="0ABB540C" w14:textId="77777777" w:rsidR="00FE781C" w:rsidRPr="00106F94" w:rsidRDefault="00FE781C" w:rsidP="00FE781C">
      <w:pPr>
        <w:spacing w:after="0"/>
        <w:jc w:val="both"/>
        <w:rPr>
          <w:rFonts w:ascii="Arial" w:eastAsia="Times New Roman" w:hAnsi="Arial" w:cs="Arial"/>
          <w:b/>
          <w:sz w:val="24"/>
          <w:szCs w:val="24"/>
          <w:highlight w:val="white"/>
        </w:rPr>
        <w:sectPr w:rsidR="00FE781C" w:rsidRPr="00106F94" w:rsidSect="0081350F">
          <w:type w:val="continuous"/>
          <w:pgSz w:w="12240" w:h="15840"/>
          <w:pgMar w:top="2693" w:right="1701" w:bottom="2268" w:left="1701" w:header="708" w:footer="708" w:gutter="0"/>
          <w:pgNumType w:start="1"/>
          <w:cols w:num="2" w:space="720"/>
        </w:sectPr>
      </w:pPr>
    </w:p>
    <w:p w14:paraId="33960ACD" w14:textId="1FC23B49" w:rsidR="00845335" w:rsidRPr="005A729B" w:rsidRDefault="00845335" w:rsidP="00E44B1C">
      <w:pPr>
        <w:spacing w:after="0"/>
        <w:jc w:val="center"/>
        <w:rPr>
          <w:rFonts w:ascii="Arial" w:eastAsia="Times New Roman" w:hAnsi="Arial" w:cs="Arial"/>
          <w:b/>
          <w:i/>
          <w:sz w:val="24"/>
          <w:szCs w:val="24"/>
          <w:highlight w:val="white"/>
        </w:rPr>
      </w:pPr>
      <w:r w:rsidRPr="005A729B">
        <w:rPr>
          <w:rFonts w:ascii="Arial" w:eastAsia="Times New Roman" w:hAnsi="Arial" w:cs="Arial"/>
          <w:b/>
          <w:i/>
          <w:sz w:val="24"/>
          <w:szCs w:val="24"/>
          <w:highlight w:val="white"/>
        </w:rPr>
        <w:lastRenderedPageBreak/>
        <w:t>CÉSAR AUGUSTO LORDUY</w:t>
      </w:r>
    </w:p>
    <w:p w14:paraId="1E2920AF" w14:textId="77777777" w:rsidR="00845335" w:rsidRPr="00106F94" w:rsidRDefault="00845335" w:rsidP="00E44B1C">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2AD7949F" w14:textId="77777777" w:rsidR="00845335" w:rsidRPr="005A729B" w:rsidRDefault="00845335" w:rsidP="00E44B1C">
      <w:pPr>
        <w:spacing w:after="0"/>
        <w:jc w:val="center"/>
        <w:rPr>
          <w:rFonts w:ascii="Arial" w:eastAsia="Times New Roman" w:hAnsi="Arial" w:cs="Arial"/>
          <w:b/>
          <w:i/>
          <w:sz w:val="24"/>
          <w:szCs w:val="24"/>
          <w:highlight w:val="white"/>
        </w:rPr>
      </w:pPr>
      <w:r>
        <w:rPr>
          <w:rFonts w:ascii="Arial" w:eastAsia="Times New Roman" w:hAnsi="Arial" w:cs="Arial"/>
          <w:b/>
          <w:i/>
          <w:sz w:val="24"/>
          <w:szCs w:val="24"/>
          <w:highlight w:val="white"/>
        </w:rPr>
        <w:lastRenderedPageBreak/>
        <w:t>JUAN CARLOS WILLS</w:t>
      </w:r>
    </w:p>
    <w:p w14:paraId="1BAFAC0A" w14:textId="00B1AC01" w:rsidR="00845335" w:rsidRDefault="00F660DB" w:rsidP="00E44B1C">
      <w:pPr>
        <w:spacing w:after="0"/>
        <w:jc w:val="center"/>
        <w:rPr>
          <w:rFonts w:ascii="Arial" w:eastAsia="Times New Roman" w:hAnsi="Arial" w:cs="Arial"/>
          <w:sz w:val="24"/>
          <w:szCs w:val="24"/>
          <w:highlight w:val="white"/>
        </w:rPr>
        <w:sectPr w:rsidR="00845335" w:rsidSect="0081350F">
          <w:type w:val="continuous"/>
          <w:pgSz w:w="12240" w:h="15840"/>
          <w:pgMar w:top="2693" w:right="1701" w:bottom="2268" w:left="1701" w:header="708" w:footer="708" w:gutter="0"/>
          <w:cols w:num="2" w:space="720"/>
        </w:sectPr>
      </w:pPr>
      <w:r>
        <w:rPr>
          <w:rFonts w:ascii="Arial" w:eastAsia="Times New Roman" w:hAnsi="Arial" w:cs="Arial"/>
          <w:sz w:val="24"/>
          <w:szCs w:val="24"/>
          <w:highlight w:val="white"/>
        </w:rPr>
        <w:t>Representante a la Cámara</w:t>
      </w:r>
    </w:p>
    <w:p w14:paraId="6620BA83" w14:textId="00D64B04" w:rsidR="000A0A6F" w:rsidRPr="00106F94" w:rsidRDefault="000A0A6F" w:rsidP="000A0A6F">
      <w:pPr>
        <w:spacing w:after="0"/>
        <w:rPr>
          <w:rFonts w:ascii="Arial" w:eastAsia="Times New Roman" w:hAnsi="Arial" w:cs="Arial"/>
          <w:color w:val="000000"/>
          <w:sz w:val="24"/>
          <w:szCs w:val="24"/>
        </w:rPr>
        <w:sectPr w:rsidR="000A0A6F" w:rsidRPr="00106F94" w:rsidSect="0081350F">
          <w:type w:val="continuous"/>
          <w:pgSz w:w="12240" w:h="15840"/>
          <w:pgMar w:top="2693" w:right="1701" w:bottom="2268" w:left="1701" w:header="708" w:footer="2229" w:gutter="0"/>
          <w:cols w:space="720"/>
        </w:sectPr>
      </w:pPr>
    </w:p>
    <w:p w14:paraId="48B6DE29" w14:textId="7C66272D" w:rsidR="00801C97" w:rsidRPr="0081350F" w:rsidRDefault="00801C97" w:rsidP="00ED3820">
      <w:pPr>
        <w:tabs>
          <w:tab w:val="left" w:pos="7305"/>
        </w:tabs>
      </w:pPr>
    </w:p>
    <w:sectPr w:rsidR="00801C97" w:rsidRPr="0081350F" w:rsidSect="0081350F">
      <w:headerReference w:type="default" r:id="rId25"/>
      <w:footerReference w:type="default" r:id="rId26"/>
      <w:pgSz w:w="12242" w:h="15842" w:code="1"/>
      <w:pgMar w:top="2693"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490D8" w14:textId="77777777" w:rsidR="00AC263B" w:rsidRDefault="00AC263B" w:rsidP="00D41730">
      <w:pPr>
        <w:spacing w:after="0" w:line="240" w:lineRule="auto"/>
      </w:pPr>
      <w:r>
        <w:separator/>
      </w:r>
    </w:p>
  </w:endnote>
  <w:endnote w:type="continuationSeparator" w:id="0">
    <w:p w14:paraId="3E15D156" w14:textId="77777777" w:rsidR="00AC263B" w:rsidRDefault="00AC263B"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B30" w14:textId="77777777" w:rsidR="009E4A9B" w:rsidRDefault="009E4A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430B" w14:textId="42636FCD" w:rsidR="003559AD" w:rsidRDefault="00C1308D" w:rsidP="003559AD">
    <w:pPr>
      <w:pStyle w:val="Piedepgina"/>
      <w:jc w:val="center"/>
    </w:pPr>
    <w:r>
      <w:rPr>
        <w:noProof/>
        <w:lang w:val="es-CO" w:eastAsia="es-CO"/>
      </w:rPr>
      <w:drawing>
        <wp:anchor distT="0" distB="0" distL="114300" distR="114300" simplePos="0" relativeHeight="251661312" behindDoc="1" locked="0" layoutInCell="1" allowOverlap="1" wp14:anchorId="10468797" wp14:editId="71AF5AA6">
          <wp:simplePos x="0" y="0"/>
          <wp:positionH relativeFrom="margin">
            <wp:align>right</wp:align>
          </wp:positionH>
          <wp:positionV relativeFrom="paragraph">
            <wp:posOffset>-61595</wp:posOffset>
          </wp:positionV>
          <wp:extent cx="5612130" cy="1032510"/>
          <wp:effectExtent l="0" t="0" r="762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823C" w14:textId="77777777" w:rsidR="009E4A9B" w:rsidRDefault="009E4A9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C942" w14:textId="77777777" w:rsidR="0081350F" w:rsidRDefault="0081350F" w:rsidP="003559AD">
    <w:pPr>
      <w:pStyle w:val="Piedepgina"/>
      <w:jc w:val="center"/>
    </w:pPr>
    <w:r>
      <w:rPr>
        <w:noProof/>
        <w:lang w:val="es-CO" w:eastAsia="es-CO"/>
      </w:rPr>
      <w:drawing>
        <wp:anchor distT="0" distB="0" distL="114300" distR="114300" simplePos="0" relativeHeight="251663360" behindDoc="1" locked="0" layoutInCell="1" allowOverlap="1" wp14:anchorId="62A8CBA8" wp14:editId="5C8C628B">
          <wp:simplePos x="0" y="0"/>
          <wp:positionH relativeFrom="margin">
            <wp:align>right</wp:align>
          </wp:positionH>
          <wp:positionV relativeFrom="paragraph">
            <wp:posOffset>-594995</wp:posOffset>
          </wp:positionV>
          <wp:extent cx="5612130" cy="1032510"/>
          <wp:effectExtent l="0" t="0" r="762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B5F5" w14:textId="308ED8E3" w:rsidR="00AF230B" w:rsidRDefault="00AF230B" w:rsidP="000A0A6F">
    <w:pPr>
      <w:pStyle w:val="Piedepgina"/>
    </w:pPr>
  </w:p>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3A4D" w14:textId="77777777" w:rsidR="00AC263B" w:rsidRDefault="00AC263B" w:rsidP="00D41730">
      <w:pPr>
        <w:spacing w:after="0" w:line="240" w:lineRule="auto"/>
      </w:pPr>
      <w:r>
        <w:separator/>
      </w:r>
    </w:p>
  </w:footnote>
  <w:footnote w:type="continuationSeparator" w:id="0">
    <w:p w14:paraId="5576D031" w14:textId="77777777" w:rsidR="00AC263B" w:rsidRDefault="00AC263B" w:rsidP="00D41730">
      <w:pPr>
        <w:spacing w:after="0" w:line="240" w:lineRule="auto"/>
      </w:pPr>
      <w:r>
        <w:continuationSeparator/>
      </w:r>
    </w:p>
  </w:footnote>
  <w:footnote w:id="1">
    <w:p w14:paraId="0E5E0866" w14:textId="77777777" w:rsidR="00906B89" w:rsidRPr="009228E1" w:rsidRDefault="00906B89" w:rsidP="00906B89">
      <w:pPr>
        <w:pStyle w:val="Textonotapie"/>
        <w:rPr>
          <w:rFonts w:ascii="Arial" w:hAnsi="Arial" w:cs="Arial"/>
          <w:sz w:val="18"/>
        </w:rPr>
      </w:pPr>
      <w:r>
        <w:rPr>
          <w:rStyle w:val="Refdenotaalpie"/>
        </w:rPr>
        <w:footnoteRef/>
      </w:r>
      <w:r>
        <w:t xml:space="preserve"> </w:t>
      </w:r>
      <w:hyperlink r:id="rId1" w:history="1">
        <w:r w:rsidRPr="009228E1">
          <w:rPr>
            <w:rStyle w:val="Hipervnculo"/>
            <w:rFonts w:ascii="Arial" w:hAnsi="Arial" w:cs="Arial"/>
            <w:sz w:val="18"/>
          </w:rPr>
          <w:t>https://www.ramajudicial.gov.co/documents/1545778/5597675/Informe+al+Congreso+2020.pdf/2d4e49be-c9a2-4335-8db2-6cad58139b17</w:t>
        </w:r>
      </w:hyperlink>
    </w:p>
    <w:p w14:paraId="4874DCBD" w14:textId="77777777" w:rsidR="00906B89" w:rsidRPr="009228E1" w:rsidRDefault="00906B89" w:rsidP="00906B89">
      <w:pPr>
        <w:pStyle w:val="Textonotapie"/>
        <w:rPr>
          <w:rFonts w:ascii="Arial" w:hAnsi="Arial" w:cs="Arial"/>
          <w:sz w:val="18"/>
        </w:rPr>
      </w:pPr>
    </w:p>
  </w:footnote>
  <w:footnote w:id="2">
    <w:p w14:paraId="1B1245F8" w14:textId="77777777" w:rsidR="00906B89" w:rsidRPr="009228E1" w:rsidRDefault="00906B89" w:rsidP="00906B89">
      <w:pPr>
        <w:pStyle w:val="Textonotapie"/>
        <w:rPr>
          <w:rFonts w:ascii="Arial" w:hAnsi="Arial" w:cs="Arial"/>
          <w:sz w:val="18"/>
        </w:rPr>
      </w:pPr>
      <w:r w:rsidRPr="009228E1">
        <w:rPr>
          <w:rStyle w:val="Refdenotaalpie"/>
          <w:rFonts w:ascii="Arial" w:hAnsi="Arial" w:cs="Arial"/>
          <w:sz w:val="18"/>
        </w:rPr>
        <w:footnoteRef/>
      </w:r>
      <w:r w:rsidRPr="009228E1">
        <w:rPr>
          <w:rFonts w:ascii="Arial" w:hAnsi="Arial" w:cs="Arial"/>
          <w:sz w:val="18"/>
        </w:rPr>
        <w:t xml:space="preserve"> </w:t>
      </w:r>
      <w:hyperlink r:id="rId2" w:history="1">
        <w:r w:rsidRPr="009228E1">
          <w:rPr>
            <w:rStyle w:val="Hipervnculo"/>
            <w:rFonts w:ascii="Arial" w:hAnsi="Arial" w:cs="Arial"/>
            <w:sz w:val="18"/>
          </w:rPr>
          <w:t>https://www.dane.gov.co/index.php/estadisticas-por-tema/encuesta-pulso-social</w:t>
        </w:r>
      </w:hyperlink>
    </w:p>
    <w:p w14:paraId="2712F98C" w14:textId="77777777" w:rsidR="00906B89" w:rsidRDefault="00906B89" w:rsidP="00906B89">
      <w:pPr>
        <w:pStyle w:val="Textonotapie"/>
      </w:pPr>
    </w:p>
  </w:footnote>
  <w:footnote w:id="3">
    <w:p w14:paraId="1DFC45C4" w14:textId="77777777" w:rsidR="00906B89" w:rsidRPr="009228E1" w:rsidRDefault="00906B89" w:rsidP="00906B89">
      <w:pPr>
        <w:pStyle w:val="Textonotapie"/>
        <w:rPr>
          <w:rFonts w:ascii="Arial" w:hAnsi="Arial" w:cs="Arial"/>
          <w:sz w:val="18"/>
        </w:rPr>
      </w:pPr>
      <w:r>
        <w:rPr>
          <w:rStyle w:val="Refdenotaalpie"/>
        </w:rPr>
        <w:footnoteRef/>
      </w:r>
      <w:r>
        <w:t xml:space="preserve"> </w:t>
      </w:r>
      <w:hyperlink r:id="rId3" w:history="1">
        <w:r w:rsidRPr="009228E1">
          <w:rPr>
            <w:rStyle w:val="Hipervnculo"/>
            <w:rFonts w:ascii="Arial" w:hAnsi="Arial" w:cs="Arial"/>
            <w:sz w:val="18"/>
          </w:rPr>
          <w:t>https://www.dane.gov.co/index.php/estadisticas-por-tema/mercado-laboral/empleo-y-desempleo</w:t>
        </w:r>
      </w:hyperlink>
    </w:p>
    <w:p w14:paraId="720D407C" w14:textId="77777777" w:rsidR="00906B89" w:rsidRPr="009228E1" w:rsidRDefault="00906B89" w:rsidP="00906B89">
      <w:pPr>
        <w:pStyle w:val="Textonotapie"/>
        <w:rPr>
          <w:rFonts w:ascii="Arial" w:hAnsi="Arial" w:cs="Arial"/>
          <w:sz w:val="18"/>
        </w:rPr>
      </w:pPr>
    </w:p>
  </w:footnote>
  <w:footnote w:id="4">
    <w:p w14:paraId="016FDA29" w14:textId="77777777" w:rsidR="00906B89" w:rsidRPr="009228E1" w:rsidRDefault="00906B89" w:rsidP="00906B89">
      <w:pPr>
        <w:pStyle w:val="Textonotapie"/>
        <w:rPr>
          <w:rFonts w:ascii="Arial" w:hAnsi="Arial" w:cs="Arial"/>
          <w:sz w:val="18"/>
        </w:rPr>
      </w:pPr>
      <w:r w:rsidRPr="009228E1">
        <w:rPr>
          <w:rStyle w:val="Refdenotaalpie"/>
          <w:rFonts w:ascii="Arial" w:hAnsi="Arial" w:cs="Arial"/>
          <w:sz w:val="18"/>
        </w:rPr>
        <w:footnoteRef/>
      </w:r>
      <w:r w:rsidRPr="009228E1">
        <w:rPr>
          <w:rFonts w:ascii="Arial" w:hAnsi="Arial" w:cs="Arial"/>
          <w:sz w:val="18"/>
        </w:rPr>
        <w:t xml:space="preserve"> </w:t>
      </w:r>
      <w:hyperlink r:id="rId4" w:history="1">
        <w:r w:rsidRPr="009228E1">
          <w:rPr>
            <w:rStyle w:val="Hipervnculo"/>
            <w:rFonts w:ascii="Arial" w:hAnsi="Arial" w:cs="Arial"/>
            <w:sz w:val="18"/>
          </w:rPr>
          <w:t>https://www.vanguardia.com/economia/nacional/la-inflacion-incrementara-la-pobreza-monetaria-en-el-2022-en-colombia-AA5013165</w:t>
        </w:r>
      </w:hyperlink>
    </w:p>
    <w:p w14:paraId="3B111190" w14:textId="77777777" w:rsidR="00906B89" w:rsidRDefault="00906B89" w:rsidP="00906B89">
      <w:pPr>
        <w:pStyle w:val="Textonotapie"/>
      </w:pPr>
    </w:p>
  </w:footnote>
  <w:footnote w:id="5">
    <w:p w14:paraId="7EBEA40F" w14:textId="77777777" w:rsidR="00AD2DE5" w:rsidRPr="008D00BB" w:rsidRDefault="00AD2DE5" w:rsidP="00AD2DE5">
      <w:pPr>
        <w:pStyle w:val="xmsonormal"/>
        <w:shd w:val="clear" w:color="auto" w:fill="FFFFFF"/>
        <w:spacing w:before="0" w:beforeAutospacing="0" w:after="0" w:afterAutospacing="0" w:line="235" w:lineRule="atLeast"/>
        <w:jc w:val="both"/>
        <w:rPr>
          <w:color w:val="000000"/>
          <w:lang w:val="es-ES"/>
        </w:rPr>
      </w:pPr>
      <w:r>
        <w:rPr>
          <w:rStyle w:val="Refdenotaalpie"/>
        </w:rPr>
        <w:footnoteRef/>
      </w:r>
      <w:hyperlink r:id="rId5" w:tgtFrame="_blank" w:history="1">
        <w:r w:rsidRPr="009228E1">
          <w:rPr>
            <w:rStyle w:val="Hipervnculo"/>
            <w:rFonts w:ascii="Arial" w:hAnsi="Arial" w:cs="Arial"/>
            <w:sz w:val="18"/>
            <w:bdr w:val="none" w:sz="0" w:space="0" w:color="auto" w:frame="1"/>
            <w:lang w:val="es-ES"/>
          </w:rPr>
          <w:t>https://www.superfinanciera.gov.co/descargas?com=institucional&amp;name=pubFile1005089&amp;downloadname=icv_cas_historia.xls</w:t>
        </w:r>
      </w:hyperlink>
      <w:r w:rsidRPr="009228E1">
        <w:rPr>
          <w:color w:val="000000"/>
          <w:sz w:val="18"/>
          <w:bdr w:val="none" w:sz="0" w:space="0" w:color="auto" w:frame="1"/>
          <w:lang w:val="es-ES"/>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CEE5" w14:textId="77777777" w:rsidR="009E4A9B" w:rsidRDefault="009E4A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1EC7" w14:textId="7F399990" w:rsidR="00FE781C" w:rsidRDefault="0081350F" w:rsidP="0081350F">
    <w:pPr>
      <w:pBdr>
        <w:top w:val="nil"/>
        <w:left w:val="nil"/>
        <w:bottom w:val="nil"/>
        <w:right w:val="nil"/>
        <w:between w:val="nil"/>
      </w:pBdr>
      <w:tabs>
        <w:tab w:val="left" w:pos="1155"/>
        <w:tab w:val="center" w:pos="4419"/>
        <w:tab w:val="right" w:pos="8838"/>
      </w:tabs>
      <w:spacing w:after="0" w:line="240" w:lineRule="auto"/>
      <w:rPr>
        <w:color w:val="000000"/>
      </w:rPr>
    </w:pPr>
    <w:r>
      <w:rPr>
        <w:color w:val="000000"/>
      </w:rPr>
      <w:tab/>
    </w:r>
    <w:r>
      <w:rPr>
        <w:color w:val="000000"/>
      </w:rPr>
      <w:tab/>
    </w:r>
    <w:r>
      <w:rPr>
        <w:color w:val="000000"/>
      </w:rPr>
      <w:tab/>
    </w:r>
    <w:bookmarkStart w:id="2" w:name="_GoBack"/>
    <w:bookmarkEnd w:id="2"/>
    <w:r w:rsidR="003559AD">
      <w:rPr>
        <w:noProof/>
        <w:lang w:val="es-CO" w:eastAsia="es-CO"/>
      </w:rPr>
      <w:drawing>
        <wp:anchor distT="0" distB="0" distL="114300" distR="114300" simplePos="0" relativeHeight="251659264" behindDoc="0" locked="0" layoutInCell="1" allowOverlap="1" wp14:anchorId="54132C56" wp14:editId="7BC4DFD7">
          <wp:simplePos x="0" y="0"/>
          <wp:positionH relativeFrom="margin">
            <wp:align>center</wp:align>
          </wp:positionH>
          <wp:positionV relativeFrom="paragraph">
            <wp:posOffset>-181610</wp:posOffset>
          </wp:positionV>
          <wp:extent cx="3152775" cy="1307882"/>
          <wp:effectExtent l="0" t="0" r="0" b="6985"/>
          <wp:wrapNone/>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52775" cy="13078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789C" w14:textId="77777777" w:rsidR="009E4A9B" w:rsidRDefault="009E4A9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AB05" w14:textId="60B6EEC5" w:rsidR="00FE781C" w:rsidRDefault="00FE781C">
    <w:pPr>
      <w:pBdr>
        <w:top w:val="nil"/>
        <w:left w:val="nil"/>
        <w:bottom w:val="nil"/>
        <w:right w:val="nil"/>
        <w:between w:val="nil"/>
      </w:pBdr>
      <w:tabs>
        <w:tab w:val="center" w:pos="4419"/>
        <w:tab w:val="right" w:pos="8838"/>
      </w:tabs>
      <w:spacing w:after="0" w:line="240" w:lineRule="auto"/>
      <w:jc w:val="center"/>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5AA18B5C" w:rsidR="00B62173" w:rsidRPr="001069B7" w:rsidRDefault="00B62173" w:rsidP="00485485">
    <w:pPr>
      <w:pStyle w:val="Encabezado"/>
      <w:jc w:val="center"/>
      <w:rPr>
        <w:rFonts w:ascii="Monotype Corsiva" w:hAnsi="Monotype Corsiva"/>
        <w:sz w:val="28"/>
        <w:szCs w:val="28"/>
      </w:rPr>
    </w:pP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52F7265"/>
    <w:multiLevelType w:val="multilevel"/>
    <w:tmpl w:val="DCA2B718"/>
    <w:lvl w:ilvl="0">
      <w:start w:val="1"/>
      <w:numFmt w:val="upperRoman"/>
      <w:lvlText w:val="%1."/>
      <w:lvlJc w:val="left"/>
      <w:pPr>
        <w:ind w:left="1080" w:hanging="72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9B614B"/>
    <w:multiLevelType w:val="hybridMultilevel"/>
    <w:tmpl w:val="81728D0C"/>
    <w:lvl w:ilvl="0" w:tplc="0AEA2BC4">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B53743"/>
    <w:multiLevelType w:val="hybridMultilevel"/>
    <w:tmpl w:val="D3620140"/>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12" w15:restartNumberingAfterBreak="0">
    <w:nsid w:val="19EF1AC6"/>
    <w:multiLevelType w:val="hybridMultilevel"/>
    <w:tmpl w:val="6E52B460"/>
    <w:lvl w:ilvl="0" w:tplc="C00AC0D6">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5"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6"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665022"/>
    <w:multiLevelType w:val="multilevel"/>
    <w:tmpl w:val="CE7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42090"/>
    <w:multiLevelType w:val="multilevel"/>
    <w:tmpl w:val="FAAC6402"/>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31A1070"/>
    <w:multiLevelType w:val="hybridMultilevel"/>
    <w:tmpl w:val="683C3724"/>
    <w:lvl w:ilvl="0" w:tplc="B15A3B90">
      <w:start w:val="1"/>
      <w:numFmt w:val="upperRoman"/>
      <w:lvlText w:val="%1."/>
      <w:lvlJc w:val="left"/>
      <w:pPr>
        <w:ind w:left="72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F854B4"/>
    <w:multiLevelType w:val="hybridMultilevel"/>
    <w:tmpl w:val="1BA26C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25" w15:restartNumberingAfterBreak="0">
    <w:nsid w:val="4A9F73DF"/>
    <w:multiLevelType w:val="hybridMultilevel"/>
    <w:tmpl w:val="24123508"/>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06505D1"/>
    <w:multiLevelType w:val="multilevel"/>
    <w:tmpl w:val="E1889E9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7F4B57"/>
    <w:multiLevelType w:val="hybridMultilevel"/>
    <w:tmpl w:val="B12C8AC0"/>
    <w:lvl w:ilvl="0" w:tplc="A044FA2A">
      <w:start w:val="6"/>
      <w:numFmt w:val="upp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AF79E8"/>
    <w:multiLevelType w:val="hybridMultilevel"/>
    <w:tmpl w:val="7C36C854"/>
    <w:lvl w:ilvl="0" w:tplc="E326AB4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32"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C720D"/>
    <w:multiLevelType w:val="hybridMultilevel"/>
    <w:tmpl w:val="30023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45D00B0"/>
    <w:multiLevelType w:val="multilevel"/>
    <w:tmpl w:val="3B6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0"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1" w15:restartNumberingAfterBreak="0">
    <w:nsid w:val="6CEC5FF2"/>
    <w:multiLevelType w:val="hybridMultilevel"/>
    <w:tmpl w:val="3A08D5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C5A5344"/>
    <w:multiLevelType w:val="hybridMultilevel"/>
    <w:tmpl w:val="26D62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15:restartNumberingAfterBreak="0">
    <w:nsid w:val="7D0F6FF3"/>
    <w:multiLevelType w:val="hybridMultilevel"/>
    <w:tmpl w:val="0644B830"/>
    <w:lvl w:ilvl="0" w:tplc="338E3A68">
      <w:start w:val="4"/>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0"/>
  </w:num>
  <w:num w:numId="4">
    <w:abstractNumId w:val="2"/>
  </w:num>
  <w:num w:numId="5">
    <w:abstractNumId w:val="17"/>
  </w:num>
  <w:num w:numId="6">
    <w:abstractNumId w:val="30"/>
  </w:num>
  <w:num w:numId="7">
    <w:abstractNumId w:val="32"/>
  </w:num>
  <w:num w:numId="8">
    <w:abstractNumId w:val="45"/>
  </w:num>
  <w:num w:numId="9">
    <w:abstractNumId w:val="39"/>
  </w:num>
  <w:num w:numId="10">
    <w:abstractNumId w:val="5"/>
  </w:num>
  <w:num w:numId="11">
    <w:abstractNumId w:val="42"/>
  </w:num>
  <w:num w:numId="12">
    <w:abstractNumId w:val="35"/>
  </w:num>
  <w:num w:numId="13">
    <w:abstractNumId w:val="38"/>
  </w:num>
  <w:num w:numId="14">
    <w:abstractNumId w:val="40"/>
  </w:num>
  <w:num w:numId="15">
    <w:abstractNumId w:val="1"/>
  </w:num>
  <w:num w:numId="16">
    <w:abstractNumId w:val="0"/>
  </w:num>
  <w:num w:numId="17">
    <w:abstractNumId w:val="31"/>
  </w:num>
  <w:num w:numId="18">
    <w:abstractNumId w:val="14"/>
  </w:num>
  <w:num w:numId="19">
    <w:abstractNumId w:val="15"/>
  </w:num>
  <w:num w:numId="20">
    <w:abstractNumId w:val="24"/>
  </w:num>
  <w:num w:numId="21">
    <w:abstractNumId w:val="37"/>
  </w:num>
  <w:num w:numId="22">
    <w:abstractNumId w:val="13"/>
  </w:num>
  <w:num w:numId="23">
    <w:abstractNumId w:val="34"/>
  </w:num>
  <w:num w:numId="24">
    <w:abstractNumId w:val="4"/>
  </w:num>
  <w:num w:numId="25">
    <w:abstractNumId w:val="29"/>
  </w:num>
  <w:num w:numId="26">
    <w:abstractNumId w:val="21"/>
  </w:num>
  <w:num w:numId="27">
    <w:abstractNumId w:val="11"/>
  </w:num>
  <w:num w:numId="28">
    <w:abstractNumId w:val="6"/>
  </w:num>
  <w:num w:numId="29">
    <w:abstractNumId w:val="3"/>
  </w:num>
  <w:num w:numId="30">
    <w:abstractNumId w:val="20"/>
  </w:num>
  <w:num w:numId="31">
    <w:abstractNumId w:val="41"/>
  </w:num>
  <w:num w:numId="32">
    <w:abstractNumId w:val="25"/>
  </w:num>
  <w:num w:numId="33">
    <w:abstractNumId w:val="9"/>
  </w:num>
  <w:num w:numId="34">
    <w:abstractNumId w:val="44"/>
  </w:num>
  <w:num w:numId="35">
    <w:abstractNumId w:val="8"/>
  </w:num>
  <w:num w:numId="36">
    <w:abstractNumId w:val="19"/>
  </w:num>
  <w:num w:numId="37">
    <w:abstractNumId w:val="7"/>
  </w:num>
  <w:num w:numId="38">
    <w:abstractNumId w:val="36"/>
  </w:num>
  <w:num w:numId="39">
    <w:abstractNumId w:val="26"/>
  </w:num>
  <w:num w:numId="40">
    <w:abstractNumId w:val="18"/>
  </w:num>
  <w:num w:numId="41">
    <w:abstractNumId w:val="28"/>
  </w:num>
  <w:num w:numId="42">
    <w:abstractNumId w:val="27"/>
  </w:num>
  <w:num w:numId="43">
    <w:abstractNumId w:val="33"/>
  </w:num>
  <w:num w:numId="44">
    <w:abstractNumId w:val="22"/>
  </w:num>
  <w:num w:numId="45">
    <w:abstractNumId w:val="43"/>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0F7B"/>
    <w:rsid w:val="00011CB9"/>
    <w:rsid w:val="000132A4"/>
    <w:rsid w:val="000147CC"/>
    <w:rsid w:val="00016DF6"/>
    <w:rsid w:val="00016FC6"/>
    <w:rsid w:val="00017196"/>
    <w:rsid w:val="000171C8"/>
    <w:rsid w:val="000172E6"/>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0A6F"/>
    <w:rsid w:val="000A1D0D"/>
    <w:rsid w:val="000A3308"/>
    <w:rsid w:val="000A4ABC"/>
    <w:rsid w:val="000A7B42"/>
    <w:rsid w:val="000B65CA"/>
    <w:rsid w:val="000B78C8"/>
    <w:rsid w:val="000C1B96"/>
    <w:rsid w:val="000C2065"/>
    <w:rsid w:val="000C577F"/>
    <w:rsid w:val="000C6629"/>
    <w:rsid w:val="000C71B2"/>
    <w:rsid w:val="000C7210"/>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0CD"/>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B3C33"/>
    <w:rsid w:val="001C0290"/>
    <w:rsid w:val="001D4D8F"/>
    <w:rsid w:val="001D74E1"/>
    <w:rsid w:val="001E24CA"/>
    <w:rsid w:val="001F4B93"/>
    <w:rsid w:val="00200626"/>
    <w:rsid w:val="002035ED"/>
    <w:rsid w:val="00205199"/>
    <w:rsid w:val="002065E8"/>
    <w:rsid w:val="00212A19"/>
    <w:rsid w:val="002136C3"/>
    <w:rsid w:val="002150E3"/>
    <w:rsid w:val="00216617"/>
    <w:rsid w:val="002241FF"/>
    <w:rsid w:val="002327D2"/>
    <w:rsid w:val="00232FBE"/>
    <w:rsid w:val="00233598"/>
    <w:rsid w:val="002353A7"/>
    <w:rsid w:val="00236B32"/>
    <w:rsid w:val="00241E53"/>
    <w:rsid w:val="00247001"/>
    <w:rsid w:val="0025141D"/>
    <w:rsid w:val="00251C71"/>
    <w:rsid w:val="00252960"/>
    <w:rsid w:val="00252D1C"/>
    <w:rsid w:val="002559C2"/>
    <w:rsid w:val="0026162D"/>
    <w:rsid w:val="00261E0A"/>
    <w:rsid w:val="0026360E"/>
    <w:rsid w:val="002643CE"/>
    <w:rsid w:val="0026461D"/>
    <w:rsid w:val="002649A9"/>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55843"/>
    <w:rsid w:val="003559AD"/>
    <w:rsid w:val="00360FEF"/>
    <w:rsid w:val="00365068"/>
    <w:rsid w:val="00367537"/>
    <w:rsid w:val="00370E04"/>
    <w:rsid w:val="00372878"/>
    <w:rsid w:val="00377F0A"/>
    <w:rsid w:val="00383084"/>
    <w:rsid w:val="003832C7"/>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E5F74"/>
    <w:rsid w:val="003F0306"/>
    <w:rsid w:val="003F3B64"/>
    <w:rsid w:val="003F4C8A"/>
    <w:rsid w:val="003F7B80"/>
    <w:rsid w:val="00405E87"/>
    <w:rsid w:val="00410B21"/>
    <w:rsid w:val="00412163"/>
    <w:rsid w:val="00414A20"/>
    <w:rsid w:val="00416B35"/>
    <w:rsid w:val="00417B55"/>
    <w:rsid w:val="00420316"/>
    <w:rsid w:val="0042130F"/>
    <w:rsid w:val="00421942"/>
    <w:rsid w:val="0042229F"/>
    <w:rsid w:val="00422382"/>
    <w:rsid w:val="00435D9C"/>
    <w:rsid w:val="00436EAD"/>
    <w:rsid w:val="004379B6"/>
    <w:rsid w:val="00440E1E"/>
    <w:rsid w:val="00447912"/>
    <w:rsid w:val="00451069"/>
    <w:rsid w:val="0045439E"/>
    <w:rsid w:val="00454849"/>
    <w:rsid w:val="004556B4"/>
    <w:rsid w:val="004607C0"/>
    <w:rsid w:val="00460898"/>
    <w:rsid w:val="004626BD"/>
    <w:rsid w:val="00464183"/>
    <w:rsid w:val="004800C0"/>
    <w:rsid w:val="00480477"/>
    <w:rsid w:val="00480933"/>
    <w:rsid w:val="00481889"/>
    <w:rsid w:val="00482D55"/>
    <w:rsid w:val="00485485"/>
    <w:rsid w:val="00490AF7"/>
    <w:rsid w:val="004916A0"/>
    <w:rsid w:val="00496BC6"/>
    <w:rsid w:val="004A28A7"/>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0D7D"/>
    <w:rsid w:val="005136B8"/>
    <w:rsid w:val="00523E9C"/>
    <w:rsid w:val="005246E8"/>
    <w:rsid w:val="00526487"/>
    <w:rsid w:val="005314F7"/>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14B"/>
    <w:rsid w:val="00580CD1"/>
    <w:rsid w:val="005823BE"/>
    <w:rsid w:val="00584177"/>
    <w:rsid w:val="005858FC"/>
    <w:rsid w:val="00590D62"/>
    <w:rsid w:val="00594357"/>
    <w:rsid w:val="00594F1A"/>
    <w:rsid w:val="00597C92"/>
    <w:rsid w:val="005A6A6F"/>
    <w:rsid w:val="005A729B"/>
    <w:rsid w:val="005B0286"/>
    <w:rsid w:val="005B17BF"/>
    <w:rsid w:val="005C0371"/>
    <w:rsid w:val="005C07FF"/>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31A6"/>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54BD9"/>
    <w:rsid w:val="00755361"/>
    <w:rsid w:val="0076464D"/>
    <w:rsid w:val="00766B99"/>
    <w:rsid w:val="007679CA"/>
    <w:rsid w:val="00773289"/>
    <w:rsid w:val="0077425A"/>
    <w:rsid w:val="00775130"/>
    <w:rsid w:val="007753FF"/>
    <w:rsid w:val="007967D5"/>
    <w:rsid w:val="007A3A4B"/>
    <w:rsid w:val="007A7253"/>
    <w:rsid w:val="007B2AF3"/>
    <w:rsid w:val="007B3CF3"/>
    <w:rsid w:val="007B6792"/>
    <w:rsid w:val="007C0E4E"/>
    <w:rsid w:val="007C2056"/>
    <w:rsid w:val="007C628D"/>
    <w:rsid w:val="007C7128"/>
    <w:rsid w:val="007D474B"/>
    <w:rsid w:val="007D4858"/>
    <w:rsid w:val="007D6AA3"/>
    <w:rsid w:val="007E077A"/>
    <w:rsid w:val="007E233D"/>
    <w:rsid w:val="00801A50"/>
    <w:rsid w:val="00801C97"/>
    <w:rsid w:val="008036BC"/>
    <w:rsid w:val="0081079E"/>
    <w:rsid w:val="00810D5F"/>
    <w:rsid w:val="0081350F"/>
    <w:rsid w:val="008136FC"/>
    <w:rsid w:val="00817819"/>
    <w:rsid w:val="0082068C"/>
    <w:rsid w:val="0082762F"/>
    <w:rsid w:val="00836ACB"/>
    <w:rsid w:val="00845335"/>
    <w:rsid w:val="008616F3"/>
    <w:rsid w:val="0087371C"/>
    <w:rsid w:val="008746F4"/>
    <w:rsid w:val="0088262B"/>
    <w:rsid w:val="008832CC"/>
    <w:rsid w:val="00884E8C"/>
    <w:rsid w:val="00891C2B"/>
    <w:rsid w:val="00896B97"/>
    <w:rsid w:val="008A74BB"/>
    <w:rsid w:val="008A778B"/>
    <w:rsid w:val="008B578F"/>
    <w:rsid w:val="008D18D5"/>
    <w:rsid w:val="008D2E85"/>
    <w:rsid w:val="008E01E6"/>
    <w:rsid w:val="008E2E47"/>
    <w:rsid w:val="008E6AA4"/>
    <w:rsid w:val="009003F9"/>
    <w:rsid w:val="00904FFC"/>
    <w:rsid w:val="00906B89"/>
    <w:rsid w:val="00907267"/>
    <w:rsid w:val="00911CF5"/>
    <w:rsid w:val="00914679"/>
    <w:rsid w:val="009204D9"/>
    <w:rsid w:val="00921F9F"/>
    <w:rsid w:val="009222F9"/>
    <w:rsid w:val="00922657"/>
    <w:rsid w:val="00922684"/>
    <w:rsid w:val="00925456"/>
    <w:rsid w:val="00925E97"/>
    <w:rsid w:val="00932087"/>
    <w:rsid w:val="00943A55"/>
    <w:rsid w:val="009443EE"/>
    <w:rsid w:val="00945168"/>
    <w:rsid w:val="0095464A"/>
    <w:rsid w:val="00966EE0"/>
    <w:rsid w:val="00967DAE"/>
    <w:rsid w:val="009709A7"/>
    <w:rsid w:val="00976F33"/>
    <w:rsid w:val="00982403"/>
    <w:rsid w:val="00985A03"/>
    <w:rsid w:val="009944D9"/>
    <w:rsid w:val="00997504"/>
    <w:rsid w:val="009A018A"/>
    <w:rsid w:val="009A0ED7"/>
    <w:rsid w:val="009A10BB"/>
    <w:rsid w:val="009A4E65"/>
    <w:rsid w:val="009A64C1"/>
    <w:rsid w:val="009B1029"/>
    <w:rsid w:val="009B2BED"/>
    <w:rsid w:val="009B56F5"/>
    <w:rsid w:val="009C4662"/>
    <w:rsid w:val="009C7FF5"/>
    <w:rsid w:val="009D131A"/>
    <w:rsid w:val="009E1493"/>
    <w:rsid w:val="009E4A9B"/>
    <w:rsid w:val="009E668B"/>
    <w:rsid w:val="009F53E0"/>
    <w:rsid w:val="00A009FC"/>
    <w:rsid w:val="00A03263"/>
    <w:rsid w:val="00A0351C"/>
    <w:rsid w:val="00A079EF"/>
    <w:rsid w:val="00A10639"/>
    <w:rsid w:val="00A12C07"/>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73CBF"/>
    <w:rsid w:val="00A80013"/>
    <w:rsid w:val="00A86649"/>
    <w:rsid w:val="00A9405F"/>
    <w:rsid w:val="00A948A5"/>
    <w:rsid w:val="00A95545"/>
    <w:rsid w:val="00AA4F64"/>
    <w:rsid w:val="00AA7AE7"/>
    <w:rsid w:val="00AC1EF2"/>
    <w:rsid w:val="00AC263B"/>
    <w:rsid w:val="00AD2DE5"/>
    <w:rsid w:val="00AD64B6"/>
    <w:rsid w:val="00AE23CD"/>
    <w:rsid w:val="00AE3ADA"/>
    <w:rsid w:val="00AF230B"/>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6694E"/>
    <w:rsid w:val="00B70FB6"/>
    <w:rsid w:val="00B7227F"/>
    <w:rsid w:val="00B73641"/>
    <w:rsid w:val="00B73BC2"/>
    <w:rsid w:val="00B75FA4"/>
    <w:rsid w:val="00B77BB3"/>
    <w:rsid w:val="00B8009F"/>
    <w:rsid w:val="00B83858"/>
    <w:rsid w:val="00B8449F"/>
    <w:rsid w:val="00B84FB4"/>
    <w:rsid w:val="00B90DF2"/>
    <w:rsid w:val="00BA0157"/>
    <w:rsid w:val="00BA54DF"/>
    <w:rsid w:val="00BA557A"/>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308D"/>
    <w:rsid w:val="00C14292"/>
    <w:rsid w:val="00C22527"/>
    <w:rsid w:val="00C2572D"/>
    <w:rsid w:val="00C338D9"/>
    <w:rsid w:val="00C33CD6"/>
    <w:rsid w:val="00C35737"/>
    <w:rsid w:val="00C36497"/>
    <w:rsid w:val="00C4346F"/>
    <w:rsid w:val="00C474F6"/>
    <w:rsid w:val="00C573FF"/>
    <w:rsid w:val="00C61E64"/>
    <w:rsid w:val="00C653F0"/>
    <w:rsid w:val="00C66746"/>
    <w:rsid w:val="00C66A02"/>
    <w:rsid w:val="00C7505A"/>
    <w:rsid w:val="00C82C9C"/>
    <w:rsid w:val="00C844C6"/>
    <w:rsid w:val="00C84832"/>
    <w:rsid w:val="00C90632"/>
    <w:rsid w:val="00C909AE"/>
    <w:rsid w:val="00C90F49"/>
    <w:rsid w:val="00C932EC"/>
    <w:rsid w:val="00CA1C22"/>
    <w:rsid w:val="00CA6821"/>
    <w:rsid w:val="00CB0CA0"/>
    <w:rsid w:val="00CB6704"/>
    <w:rsid w:val="00CB7C33"/>
    <w:rsid w:val="00CB7DFA"/>
    <w:rsid w:val="00CC232E"/>
    <w:rsid w:val="00CC2C86"/>
    <w:rsid w:val="00CC5BE9"/>
    <w:rsid w:val="00CD1A35"/>
    <w:rsid w:val="00CE4F58"/>
    <w:rsid w:val="00CF5C62"/>
    <w:rsid w:val="00CF7D67"/>
    <w:rsid w:val="00D01807"/>
    <w:rsid w:val="00D059F6"/>
    <w:rsid w:val="00D06CED"/>
    <w:rsid w:val="00D12155"/>
    <w:rsid w:val="00D16095"/>
    <w:rsid w:val="00D17EDC"/>
    <w:rsid w:val="00D22197"/>
    <w:rsid w:val="00D22478"/>
    <w:rsid w:val="00D25A8D"/>
    <w:rsid w:val="00D344E8"/>
    <w:rsid w:val="00D37425"/>
    <w:rsid w:val="00D37772"/>
    <w:rsid w:val="00D41730"/>
    <w:rsid w:val="00D43E67"/>
    <w:rsid w:val="00D60334"/>
    <w:rsid w:val="00D637CA"/>
    <w:rsid w:val="00D6683B"/>
    <w:rsid w:val="00D91CBF"/>
    <w:rsid w:val="00D92668"/>
    <w:rsid w:val="00D92EBC"/>
    <w:rsid w:val="00D93AAB"/>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4B1C"/>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D3820"/>
    <w:rsid w:val="00EE3621"/>
    <w:rsid w:val="00EE4135"/>
    <w:rsid w:val="00EE4481"/>
    <w:rsid w:val="00EE4CD5"/>
    <w:rsid w:val="00EE56E3"/>
    <w:rsid w:val="00EE63EE"/>
    <w:rsid w:val="00EE7C62"/>
    <w:rsid w:val="00EF5389"/>
    <w:rsid w:val="00F01FBD"/>
    <w:rsid w:val="00F11E22"/>
    <w:rsid w:val="00F1446F"/>
    <w:rsid w:val="00F17494"/>
    <w:rsid w:val="00F22222"/>
    <w:rsid w:val="00F23511"/>
    <w:rsid w:val="00F268A8"/>
    <w:rsid w:val="00F27A7C"/>
    <w:rsid w:val="00F4114D"/>
    <w:rsid w:val="00F417B1"/>
    <w:rsid w:val="00F42FDD"/>
    <w:rsid w:val="00F50ABD"/>
    <w:rsid w:val="00F528F7"/>
    <w:rsid w:val="00F63970"/>
    <w:rsid w:val="00F65BBF"/>
    <w:rsid w:val="00F660DB"/>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E781C"/>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link w:val="PrrafodelistaCar"/>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 w:type="character" w:customStyle="1" w:styleId="PrrafodelistaCar">
    <w:name w:val="Párrafo de lista Car"/>
    <w:basedOn w:val="Fuentedeprrafopredeter"/>
    <w:link w:val="Prrafodelista"/>
    <w:uiPriority w:val="34"/>
    <w:locked/>
    <w:rsid w:val="00FE781C"/>
    <w:rPr>
      <w:rFonts w:ascii="Calibri" w:eastAsia="Calibri" w:hAnsi="Calibri" w:cs="Times New Roman"/>
      <w:lang w:val="es-CO"/>
    </w:rPr>
  </w:style>
  <w:style w:type="paragraph" w:customStyle="1" w:styleId="xmsolistparagraph">
    <w:name w:val="x_msolistparagraph"/>
    <w:basedOn w:val="Normal"/>
    <w:rsid w:val="00FE78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FE781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p.powerbi.com/view?r=eyJrIjoiNTkzM2IxMzgtOTU0Ny00Mjc0LWE3ZTItMTJjMmNhMTg0OTFiIiwidCI6IjYyMmNiYTk4LTgwZjgtNDFmMy04ZGY1LThlYjk5OTAxNTk4YiIsImMiOjR9"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app.powerbi.com/view?r=eyJrIjoiNTkzM2IxMzgtOTU0Ny00Mjc0LWE3ZTItMTJjMmNhMTg0OTFiIiwidCI6IjYyMmNiYTk4LTgwZjgtNDFmMy04ZGY1LThlYjk5OTAxNTk4YiIsImMiOjR9" TargetMode="External"/><Relationship Id="rId20" Type="http://schemas.openxmlformats.org/officeDocument/2006/relationships/hyperlink" Target="https://app.powerbi.com/view?r=eyJrIjoiNTkzM2IxMzgtOTU0Ny00Mjc0LWE3ZTItMTJjMmNhMTg0OTFiIiwidCI6IjYyMmNiYTk4LTgwZjgtNDFmMy04ZGY1LThlYjk5OTAxNTk4YiIsImMiOjR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app.powerbi.com/view?r=eyJrIjoiNTkzM2IxMzgtOTU0Ny00Mjc0LWE3ZTItMTJjMmNhMTg0OTFiIiwidCI6IjYyMmNiYTk4LTgwZjgtNDFmMy04ZGY1LThlYjk5OTAxNTk4YiIsImMiOjR9"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index.php/estadisticas-por-tema/mercado-laboral/empleo-y-desempleo" TargetMode="External"/><Relationship Id="rId2" Type="http://schemas.openxmlformats.org/officeDocument/2006/relationships/hyperlink" Target="https://www.dane.gov.co/index.php/estadisticas-por-tema/encuesta-pulso-social" TargetMode="External"/><Relationship Id="rId1" Type="http://schemas.openxmlformats.org/officeDocument/2006/relationships/hyperlink" Target="https://www.ramajudicial.gov.co/documents/1545778/5597675/Informe+al+Congreso+2020.pdf/2d4e49be-c9a2-4335-8db2-6cad58139b17" TargetMode="External"/><Relationship Id="rId5" Type="http://schemas.openxmlformats.org/officeDocument/2006/relationships/hyperlink" Target="https://www.superfinanciera.gov.co/descargas?com=institucional&amp;name=pubFile1005089&amp;downloadname=icv_cas_historia.xls" TargetMode="External"/><Relationship Id="rId4" Type="http://schemas.openxmlformats.org/officeDocument/2006/relationships/hyperlink" Target="https://www.vanguardia.com/economia/nacional/la-inflacion-incrementara-la-pobreza-monetaria-en-el-2022-en-colombia-AA50131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F9C7-0D64-430F-A125-C0C266C3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29</Pages>
  <Words>7332</Words>
  <Characters>40326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Sebastian Mosquera Bernal UTL</cp:lastModifiedBy>
  <cp:revision>30</cp:revision>
  <cp:lastPrinted>2022-04-19T15:24:00Z</cp:lastPrinted>
  <dcterms:created xsi:type="dcterms:W3CDTF">2022-04-06T19:08:00Z</dcterms:created>
  <dcterms:modified xsi:type="dcterms:W3CDTF">2022-04-19T15:31:00Z</dcterms:modified>
</cp:coreProperties>
</file>